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08A34" w14:textId="77777777" w:rsidR="00A65DBF" w:rsidRDefault="00A65DBF" w:rsidP="00F906F9">
      <w:pPr>
        <w:pStyle w:val="Default"/>
        <w:pBdr>
          <w:bottom w:val="single" w:sz="6" w:space="1" w:color="auto"/>
        </w:pBdr>
        <w:rPr>
          <w:rFonts w:cs="Times New Roman"/>
          <w:color w:val="auto"/>
          <w:sz w:val="22"/>
          <w:szCs w:val="22"/>
        </w:rPr>
      </w:pPr>
    </w:p>
    <w:p w14:paraId="3F244DB5" w14:textId="77777777" w:rsidR="00C83B23" w:rsidRDefault="00C83B23" w:rsidP="00F906F9">
      <w:pPr>
        <w:pStyle w:val="Default"/>
        <w:pBdr>
          <w:bottom w:val="single" w:sz="6" w:space="1" w:color="auto"/>
        </w:pBdr>
        <w:rPr>
          <w:rFonts w:cs="Times New Roman"/>
          <w:color w:val="auto"/>
          <w:sz w:val="22"/>
          <w:szCs w:val="22"/>
        </w:rPr>
      </w:pPr>
    </w:p>
    <w:p w14:paraId="6EC5F510" w14:textId="77777777" w:rsidR="00C83B23" w:rsidRDefault="00C83B23" w:rsidP="00F906F9">
      <w:pPr>
        <w:pStyle w:val="Default"/>
        <w:pBdr>
          <w:bottom w:val="single" w:sz="6" w:space="1" w:color="auto"/>
        </w:pBdr>
        <w:rPr>
          <w:rFonts w:cs="Times New Roman"/>
          <w:color w:val="auto"/>
          <w:sz w:val="22"/>
          <w:szCs w:val="22"/>
        </w:rPr>
      </w:pPr>
    </w:p>
    <w:p w14:paraId="1C901BD7" w14:textId="77777777" w:rsidR="00B25C8B" w:rsidRPr="00410F33" w:rsidRDefault="00B25C8B" w:rsidP="00F906F9">
      <w:pPr>
        <w:pStyle w:val="Default"/>
        <w:pBdr>
          <w:bottom w:val="single" w:sz="6" w:space="1" w:color="auto"/>
        </w:pBdr>
        <w:rPr>
          <w:rFonts w:cs="Times New Roman"/>
          <w:color w:val="auto"/>
          <w:sz w:val="22"/>
          <w:szCs w:val="22"/>
        </w:rPr>
      </w:pPr>
    </w:p>
    <w:p w14:paraId="2CA86998" w14:textId="1DDD5D10" w:rsidR="00F906F9" w:rsidRPr="00410F33" w:rsidRDefault="00214B27" w:rsidP="00F906F9">
      <w:pPr>
        <w:pStyle w:val="Default"/>
        <w:pBdr>
          <w:bottom w:val="single" w:sz="6" w:space="1" w:color="auto"/>
        </w:pBdr>
        <w:rPr>
          <w:rFonts w:cs="Times New Roman"/>
          <w:color w:val="auto"/>
          <w:sz w:val="22"/>
          <w:szCs w:val="22"/>
        </w:rPr>
      </w:pPr>
      <w:r w:rsidRPr="00410F33">
        <w:rPr>
          <w:noProof/>
          <w:sz w:val="32"/>
          <w:szCs w:val="22"/>
        </w:rPr>
        <w:drawing>
          <wp:anchor distT="0" distB="0" distL="114300" distR="114300" simplePos="0" relativeHeight="251659264" behindDoc="0" locked="0" layoutInCell="1" allowOverlap="1" wp14:anchorId="062071B8" wp14:editId="33BEEF29">
            <wp:simplePos x="0" y="0"/>
            <wp:positionH relativeFrom="column">
              <wp:posOffset>4343400</wp:posOffset>
            </wp:positionH>
            <wp:positionV relativeFrom="paragraph">
              <wp:posOffset>-457200</wp:posOffset>
            </wp:positionV>
            <wp:extent cx="1143000" cy="628172"/>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143000" cy="62817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906F9" w:rsidRPr="00410F33">
        <w:rPr>
          <w:rFonts w:cs="Times New Roman"/>
          <w:color w:val="auto"/>
          <w:sz w:val="32"/>
          <w:szCs w:val="22"/>
        </w:rPr>
        <w:t xml:space="preserve"> DRA2 Assessment </w:t>
      </w:r>
      <w:r w:rsidR="00A11BA4">
        <w:rPr>
          <w:rFonts w:cs="Times New Roman"/>
          <w:color w:val="auto"/>
          <w:sz w:val="32"/>
          <w:szCs w:val="22"/>
        </w:rPr>
        <w:t>Guidebook</w:t>
      </w:r>
      <w:r w:rsidR="00F906F9" w:rsidRPr="00410F33">
        <w:rPr>
          <w:rFonts w:cs="Times New Roman"/>
          <w:color w:val="auto"/>
          <w:sz w:val="32"/>
          <w:szCs w:val="22"/>
        </w:rPr>
        <w:t xml:space="preserve"> </w:t>
      </w:r>
    </w:p>
    <w:p w14:paraId="53E7AC8B" w14:textId="77777777" w:rsidR="00F906F9" w:rsidRPr="00410F33" w:rsidRDefault="00F906F9" w:rsidP="00F906F9">
      <w:pPr>
        <w:pStyle w:val="Default"/>
        <w:rPr>
          <w:rFonts w:cs="Times New Roman"/>
          <w:color w:val="auto"/>
          <w:sz w:val="22"/>
          <w:szCs w:val="22"/>
        </w:rPr>
      </w:pPr>
    </w:p>
    <w:p w14:paraId="06BDC440" w14:textId="40DF2DE6" w:rsidR="00DD6D68" w:rsidRPr="00410F33" w:rsidRDefault="00F906F9" w:rsidP="00F906F9">
      <w:pPr>
        <w:pStyle w:val="Default"/>
        <w:rPr>
          <w:rFonts w:ascii="Calibri" w:hAnsi="Calibri" w:cs="Calibri"/>
          <w:color w:val="auto"/>
          <w:sz w:val="22"/>
          <w:szCs w:val="22"/>
        </w:rPr>
      </w:pPr>
      <w:r w:rsidRPr="00410F33">
        <w:rPr>
          <w:rFonts w:ascii="Calibri" w:hAnsi="Calibri" w:cs="Calibri"/>
          <w:color w:val="auto"/>
          <w:sz w:val="22"/>
          <w:szCs w:val="22"/>
        </w:rPr>
        <w:t xml:space="preserve">CBLA (Colorado Basic Literacy Act) requires that all students have a screening assessment in the fall and a summative assessment in the spring that contribute to a body of evidence that helps to identify students who may not meet grade level expectations and to help inform instructional programming. In </w:t>
      </w:r>
      <w:r w:rsidR="0054425E" w:rsidRPr="00410F33">
        <w:rPr>
          <w:rFonts w:ascii="Calibri" w:hAnsi="Calibri" w:cs="Calibri"/>
          <w:color w:val="auto"/>
          <w:sz w:val="22"/>
          <w:szCs w:val="22"/>
        </w:rPr>
        <w:t>TSD, the</w:t>
      </w:r>
      <w:r w:rsidRPr="00410F33">
        <w:rPr>
          <w:rFonts w:ascii="Calibri" w:hAnsi="Calibri" w:cs="Calibri"/>
          <w:color w:val="auto"/>
          <w:sz w:val="22"/>
          <w:szCs w:val="22"/>
        </w:rPr>
        <w:t xml:space="preserve"> DRA2 </w:t>
      </w:r>
      <w:r w:rsidR="0054425E" w:rsidRPr="00410F33">
        <w:rPr>
          <w:rFonts w:ascii="Calibri" w:hAnsi="Calibri" w:cs="Calibri"/>
          <w:color w:val="auto"/>
          <w:sz w:val="22"/>
          <w:szCs w:val="22"/>
        </w:rPr>
        <w:t>will be</w:t>
      </w:r>
      <w:r w:rsidRPr="00410F33">
        <w:rPr>
          <w:rFonts w:ascii="Calibri" w:hAnsi="Calibri" w:cs="Calibri"/>
          <w:color w:val="auto"/>
          <w:sz w:val="22"/>
          <w:szCs w:val="22"/>
        </w:rPr>
        <w:t xml:space="preserve"> used for </w:t>
      </w:r>
      <w:r w:rsidRPr="00410F33">
        <w:rPr>
          <w:rFonts w:ascii="Calibri" w:hAnsi="Calibri" w:cs="Calibri"/>
          <w:color w:val="auto"/>
          <w:sz w:val="22"/>
          <w:szCs w:val="22"/>
          <w:u w:val="single"/>
        </w:rPr>
        <w:t>kindergarten through</w:t>
      </w:r>
      <w:r w:rsidR="0054425E" w:rsidRPr="00410F33">
        <w:rPr>
          <w:rFonts w:ascii="Calibri" w:hAnsi="Calibri" w:cs="Calibri"/>
          <w:color w:val="auto"/>
          <w:sz w:val="22"/>
          <w:szCs w:val="22"/>
          <w:u w:val="single"/>
        </w:rPr>
        <w:t xml:space="preserve"> </w:t>
      </w:r>
      <w:r w:rsidR="004F53EC">
        <w:rPr>
          <w:rFonts w:ascii="Calibri" w:hAnsi="Calibri" w:cs="Calibri"/>
          <w:color w:val="auto"/>
          <w:sz w:val="22"/>
          <w:szCs w:val="22"/>
          <w:u w:val="single"/>
        </w:rPr>
        <w:t>third</w:t>
      </w:r>
      <w:r w:rsidR="0054425E" w:rsidRPr="00410F33">
        <w:rPr>
          <w:rFonts w:ascii="Calibri" w:hAnsi="Calibri" w:cs="Calibri"/>
          <w:color w:val="auto"/>
          <w:sz w:val="22"/>
          <w:szCs w:val="22"/>
          <w:u w:val="single"/>
        </w:rPr>
        <w:t xml:space="preserve"> grades</w:t>
      </w:r>
      <w:r w:rsidR="0054425E" w:rsidRPr="00410F33">
        <w:rPr>
          <w:rFonts w:ascii="Calibri" w:hAnsi="Calibri" w:cs="Calibri"/>
          <w:color w:val="auto"/>
          <w:sz w:val="22"/>
          <w:szCs w:val="22"/>
        </w:rPr>
        <w:t xml:space="preserve"> for both required state reporting and our internal best-practice instructional purposes.</w:t>
      </w:r>
      <w:r w:rsidRPr="00410F33">
        <w:rPr>
          <w:rFonts w:ascii="Calibri" w:hAnsi="Calibri" w:cs="Calibri"/>
          <w:color w:val="auto"/>
          <w:sz w:val="22"/>
          <w:szCs w:val="22"/>
        </w:rPr>
        <w:t xml:space="preserve"> DRA2 spring scores </w:t>
      </w:r>
      <w:r w:rsidR="004F53EC">
        <w:rPr>
          <w:rFonts w:ascii="Calibri" w:hAnsi="Calibri" w:cs="Calibri"/>
          <w:color w:val="auto"/>
          <w:sz w:val="22"/>
          <w:szCs w:val="22"/>
        </w:rPr>
        <w:t>in grades K-3</w:t>
      </w:r>
      <w:r w:rsidR="0054425E" w:rsidRPr="00410F33">
        <w:rPr>
          <w:rFonts w:ascii="Calibri" w:hAnsi="Calibri" w:cs="Calibri"/>
          <w:color w:val="auto"/>
          <w:sz w:val="22"/>
          <w:szCs w:val="22"/>
        </w:rPr>
        <w:t xml:space="preserve"> will be</w:t>
      </w:r>
      <w:r w:rsidRPr="00410F33">
        <w:rPr>
          <w:rFonts w:ascii="Calibri" w:hAnsi="Calibri" w:cs="Calibri"/>
          <w:color w:val="auto"/>
          <w:sz w:val="22"/>
          <w:szCs w:val="22"/>
        </w:rPr>
        <w:t xml:space="preserve"> reported to the Colorado Department of Education to comply with CBLA requirements. </w:t>
      </w:r>
    </w:p>
    <w:p w14:paraId="600D8CF8" w14:textId="77777777" w:rsidR="00DD6D68" w:rsidRPr="00410F33" w:rsidRDefault="00DD6D68" w:rsidP="00F906F9">
      <w:pPr>
        <w:pStyle w:val="Default"/>
        <w:rPr>
          <w:rFonts w:ascii="Calibri" w:hAnsi="Calibri" w:cs="Calibri"/>
          <w:color w:val="auto"/>
          <w:sz w:val="22"/>
          <w:szCs w:val="22"/>
        </w:rPr>
      </w:pPr>
    </w:p>
    <w:p w14:paraId="79D33B27" w14:textId="380D1753" w:rsidR="00F906F9" w:rsidRPr="00410F33" w:rsidRDefault="00DD6D68" w:rsidP="00F906F9">
      <w:pPr>
        <w:pStyle w:val="Default"/>
        <w:rPr>
          <w:rFonts w:ascii="Calibri" w:hAnsi="Calibri" w:cs="Calibri"/>
          <w:i/>
          <w:color w:val="auto"/>
          <w:sz w:val="16"/>
          <w:szCs w:val="22"/>
        </w:rPr>
      </w:pPr>
      <w:r w:rsidRPr="00410F33">
        <w:rPr>
          <w:rFonts w:ascii="Calibri" w:hAnsi="Calibri" w:cs="Calibri"/>
          <w:i/>
          <w:color w:val="auto"/>
          <w:sz w:val="16"/>
          <w:szCs w:val="22"/>
        </w:rPr>
        <w:t>*</w:t>
      </w:r>
      <w:r w:rsidR="0054425E" w:rsidRPr="00410F33">
        <w:rPr>
          <w:rFonts w:ascii="Calibri" w:hAnsi="Calibri" w:cs="Calibri"/>
          <w:i/>
          <w:color w:val="auto"/>
          <w:sz w:val="16"/>
          <w:szCs w:val="22"/>
        </w:rPr>
        <w:t xml:space="preserve">Students in grades 3-5 will be screened with Acuity.  </w:t>
      </w:r>
      <w:r w:rsidR="004F53EC">
        <w:rPr>
          <w:rFonts w:ascii="Calibri" w:hAnsi="Calibri" w:cs="Calibri"/>
          <w:i/>
          <w:color w:val="auto"/>
          <w:sz w:val="16"/>
          <w:szCs w:val="22"/>
        </w:rPr>
        <w:t>DRA2</w:t>
      </w:r>
      <w:r w:rsidR="0054425E" w:rsidRPr="00410F33">
        <w:rPr>
          <w:rFonts w:ascii="Calibri" w:hAnsi="Calibri" w:cs="Calibri"/>
          <w:i/>
          <w:color w:val="auto"/>
          <w:sz w:val="16"/>
          <w:szCs w:val="22"/>
        </w:rPr>
        <w:t xml:space="preserve"> will be used to report end of year (EOY) 3</w:t>
      </w:r>
      <w:r w:rsidR="0054425E" w:rsidRPr="00410F33">
        <w:rPr>
          <w:rFonts w:ascii="Calibri" w:hAnsi="Calibri" w:cs="Calibri"/>
          <w:i/>
          <w:color w:val="auto"/>
          <w:sz w:val="16"/>
          <w:szCs w:val="22"/>
          <w:vertAlign w:val="superscript"/>
        </w:rPr>
        <w:t>rd</w:t>
      </w:r>
      <w:r w:rsidR="0054425E" w:rsidRPr="00410F33">
        <w:rPr>
          <w:rFonts w:ascii="Calibri" w:hAnsi="Calibri" w:cs="Calibri"/>
          <w:i/>
          <w:color w:val="auto"/>
          <w:sz w:val="16"/>
          <w:szCs w:val="22"/>
        </w:rPr>
        <w:t xml:space="preserve"> Grade </w:t>
      </w:r>
      <w:r w:rsidR="004F53EC">
        <w:rPr>
          <w:rFonts w:ascii="Calibri" w:hAnsi="Calibri" w:cs="Calibri"/>
          <w:i/>
          <w:color w:val="auto"/>
          <w:sz w:val="16"/>
          <w:szCs w:val="22"/>
        </w:rPr>
        <w:t>CBLA documentation</w:t>
      </w:r>
      <w:r w:rsidR="0054425E" w:rsidRPr="00410F33">
        <w:rPr>
          <w:rFonts w:ascii="Calibri" w:hAnsi="Calibri" w:cs="Calibri"/>
          <w:i/>
          <w:color w:val="auto"/>
          <w:sz w:val="16"/>
          <w:szCs w:val="22"/>
        </w:rPr>
        <w:t>.</w:t>
      </w:r>
    </w:p>
    <w:p w14:paraId="379149D8" w14:textId="77777777" w:rsidR="00F906F9" w:rsidRPr="00410F33" w:rsidRDefault="00F906F9" w:rsidP="00F906F9">
      <w:pPr>
        <w:pStyle w:val="Default"/>
        <w:rPr>
          <w:rFonts w:ascii="Calibri" w:hAnsi="Calibri" w:cs="Calibri"/>
          <w:b/>
          <w:bCs/>
          <w:color w:val="auto"/>
          <w:sz w:val="22"/>
          <w:szCs w:val="22"/>
        </w:rPr>
      </w:pPr>
    </w:p>
    <w:p w14:paraId="5BCAB4EA" w14:textId="77777777" w:rsidR="00F906F9" w:rsidRPr="00410F33" w:rsidRDefault="00F906F9" w:rsidP="00F906F9">
      <w:pPr>
        <w:pStyle w:val="Default"/>
        <w:rPr>
          <w:rFonts w:ascii="Calibri" w:hAnsi="Calibri" w:cs="Calibri"/>
          <w:b/>
          <w:bCs/>
          <w:color w:val="auto"/>
          <w:sz w:val="22"/>
          <w:szCs w:val="22"/>
        </w:rPr>
      </w:pPr>
      <w:r w:rsidRPr="00410F33">
        <w:rPr>
          <w:rFonts w:ascii="Calibri" w:hAnsi="Calibri" w:cs="Calibri"/>
          <w:b/>
          <w:bCs/>
          <w:color w:val="auto"/>
          <w:sz w:val="22"/>
          <w:szCs w:val="22"/>
        </w:rPr>
        <w:t xml:space="preserve">TSD Requirements for Administration of DRA2: </w:t>
      </w:r>
    </w:p>
    <w:p w14:paraId="2F838E24" w14:textId="77777777" w:rsidR="00410F33" w:rsidRDefault="00410F33" w:rsidP="00534C1D">
      <w:pPr>
        <w:pStyle w:val="Default"/>
        <w:ind w:firstLine="360"/>
        <w:rPr>
          <w:rFonts w:ascii="Calibri" w:hAnsi="Calibri" w:cs="Calibri"/>
          <w:bCs/>
          <w:color w:val="auto"/>
          <w:sz w:val="22"/>
          <w:szCs w:val="22"/>
          <w:u w:val="single"/>
        </w:rPr>
      </w:pPr>
    </w:p>
    <w:p w14:paraId="0A8B5FDC" w14:textId="573DF01E" w:rsidR="00F906F9" w:rsidRPr="0046492E" w:rsidRDefault="00D42C1A" w:rsidP="00534C1D">
      <w:pPr>
        <w:pStyle w:val="Default"/>
        <w:ind w:firstLine="360"/>
        <w:rPr>
          <w:rFonts w:ascii="Calibri" w:hAnsi="Calibri" w:cs="Calibri"/>
          <w:b/>
          <w:bCs/>
          <w:color w:val="auto"/>
          <w:szCs w:val="22"/>
          <w:u w:val="single"/>
        </w:rPr>
      </w:pPr>
      <w:r w:rsidRPr="0046492E">
        <w:rPr>
          <w:rFonts w:ascii="Calibri" w:hAnsi="Calibri" w:cs="Calibri"/>
          <w:b/>
          <w:bCs/>
          <w:color w:val="auto"/>
          <w:szCs w:val="22"/>
          <w:u w:val="single"/>
        </w:rPr>
        <w:t>FALL</w:t>
      </w:r>
    </w:p>
    <w:p w14:paraId="1FE92F26" w14:textId="77777777" w:rsidR="00F906F9" w:rsidRPr="00410F33" w:rsidRDefault="00F906F9" w:rsidP="00F906F9">
      <w:pPr>
        <w:pStyle w:val="Default"/>
        <w:rPr>
          <w:rFonts w:ascii="Calibri" w:hAnsi="Calibri" w:cs="Calibri"/>
          <w:color w:val="auto"/>
          <w:sz w:val="22"/>
          <w:szCs w:val="22"/>
        </w:rPr>
      </w:pPr>
    </w:p>
    <w:p w14:paraId="4FC28F6F" w14:textId="77777777" w:rsidR="00534C1D"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The DRA2 should be administered to </w:t>
      </w:r>
      <w:r w:rsidRPr="00410F33">
        <w:rPr>
          <w:rFonts w:ascii="Calibri" w:hAnsi="Calibri" w:cs="Calibri"/>
          <w:b/>
          <w:color w:val="auto"/>
          <w:sz w:val="22"/>
          <w:szCs w:val="22"/>
        </w:rPr>
        <w:t>all</w:t>
      </w:r>
      <w:r w:rsidRPr="00410F33">
        <w:rPr>
          <w:rFonts w:ascii="Calibri" w:hAnsi="Calibri" w:cs="Calibri"/>
          <w:color w:val="auto"/>
          <w:sz w:val="22"/>
          <w:szCs w:val="22"/>
        </w:rPr>
        <w:t xml:space="preserve"> students in grades K-2.</w:t>
      </w:r>
    </w:p>
    <w:p w14:paraId="76056BDD" w14:textId="77777777" w:rsidR="00F906F9" w:rsidRPr="00410F33" w:rsidRDefault="00F906F9" w:rsidP="00534C1D">
      <w:pPr>
        <w:pStyle w:val="Default"/>
        <w:ind w:left="720"/>
        <w:rPr>
          <w:rFonts w:ascii="Calibri" w:hAnsi="Calibri" w:cs="Calibri"/>
          <w:color w:val="auto"/>
          <w:sz w:val="22"/>
          <w:szCs w:val="22"/>
        </w:rPr>
      </w:pPr>
      <w:r w:rsidRPr="00410F33">
        <w:rPr>
          <w:rFonts w:ascii="Calibri" w:hAnsi="Calibri" w:cs="Calibri"/>
          <w:color w:val="auto"/>
          <w:sz w:val="22"/>
          <w:szCs w:val="22"/>
        </w:rPr>
        <w:t xml:space="preserve"> </w:t>
      </w:r>
    </w:p>
    <w:p w14:paraId="4907F59F" w14:textId="536145F4" w:rsidR="00F906F9"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DRA2 assessments are required during the established testing window. </w:t>
      </w:r>
      <w:r w:rsidR="006109CF" w:rsidRPr="00410F33">
        <w:rPr>
          <w:rFonts w:ascii="Calibri" w:hAnsi="Calibri" w:cs="Calibri"/>
          <w:color w:val="auto"/>
          <w:sz w:val="22"/>
          <w:szCs w:val="22"/>
        </w:rPr>
        <w:br/>
      </w:r>
      <w:r w:rsidRPr="00410F33">
        <w:rPr>
          <w:rFonts w:ascii="Calibri" w:hAnsi="Calibri" w:cs="Calibri"/>
          <w:color w:val="auto"/>
          <w:sz w:val="16"/>
          <w:szCs w:val="22"/>
        </w:rPr>
        <w:t xml:space="preserve">See the Elementary Testing Schedule from The Office of Accreditation and Accountability for testing windows. </w:t>
      </w:r>
    </w:p>
    <w:p w14:paraId="5166A3CF" w14:textId="77777777" w:rsidR="00534C1D" w:rsidRPr="00410F33" w:rsidRDefault="00534C1D" w:rsidP="00534C1D">
      <w:pPr>
        <w:pStyle w:val="Default"/>
        <w:rPr>
          <w:rFonts w:ascii="Calibri" w:hAnsi="Calibri" w:cs="Calibri"/>
          <w:color w:val="auto"/>
          <w:sz w:val="22"/>
          <w:szCs w:val="22"/>
        </w:rPr>
      </w:pPr>
    </w:p>
    <w:p w14:paraId="69A72E3D" w14:textId="4E412A5A" w:rsidR="00F906F9"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Kindergarten </w:t>
      </w:r>
      <w:r w:rsidR="00D42C1A">
        <w:rPr>
          <w:rFonts w:ascii="Calibri" w:hAnsi="Calibri" w:cs="Calibri"/>
          <w:color w:val="auto"/>
          <w:sz w:val="22"/>
          <w:szCs w:val="22"/>
        </w:rPr>
        <w:t>FALL</w:t>
      </w:r>
      <w:r w:rsidRPr="00410F33">
        <w:rPr>
          <w:rFonts w:ascii="Calibri" w:hAnsi="Calibri" w:cs="Calibri"/>
          <w:color w:val="auto"/>
          <w:sz w:val="22"/>
          <w:szCs w:val="22"/>
        </w:rPr>
        <w:t xml:space="preserve"> requirements</w:t>
      </w:r>
      <w:r w:rsidR="000E7B6C">
        <w:rPr>
          <w:rFonts w:ascii="Calibri" w:hAnsi="Calibri" w:cs="Calibri"/>
          <w:color w:val="auto"/>
          <w:sz w:val="22"/>
          <w:szCs w:val="22"/>
        </w:rPr>
        <w:t xml:space="preserve"> include Word Analysis Tasks 1, 3, 4, 5, 6, 9, 11 and 12.</w:t>
      </w:r>
      <w:r w:rsidR="00D42C1A">
        <w:rPr>
          <w:rFonts w:ascii="Calibri" w:hAnsi="Calibri" w:cs="Calibri"/>
          <w:color w:val="auto"/>
          <w:sz w:val="22"/>
          <w:szCs w:val="22"/>
        </w:rPr>
        <w:t xml:space="preserve"> </w:t>
      </w:r>
    </w:p>
    <w:p w14:paraId="79A6EDDE" w14:textId="77777777" w:rsidR="000E7B6C" w:rsidRDefault="000E7B6C" w:rsidP="000E7B6C">
      <w:pPr>
        <w:pStyle w:val="Default"/>
        <w:rPr>
          <w:rFonts w:ascii="Calibri" w:hAnsi="Calibri" w:cs="Calibri"/>
          <w:color w:val="auto"/>
          <w:sz w:val="22"/>
          <w:szCs w:val="22"/>
        </w:rPr>
      </w:pPr>
    </w:p>
    <w:p w14:paraId="4FEAF0AC" w14:textId="379271A8" w:rsidR="000E7B6C" w:rsidRPr="00410F33" w:rsidRDefault="007A7F11" w:rsidP="00F906F9">
      <w:pPr>
        <w:pStyle w:val="Default"/>
        <w:numPr>
          <w:ilvl w:val="0"/>
          <w:numId w:val="1"/>
        </w:numPr>
        <w:rPr>
          <w:rFonts w:ascii="Calibri" w:hAnsi="Calibri" w:cs="Calibri"/>
          <w:color w:val="auto"/>
          <w:sz w:val="22"/>
          <w:szCs w:val="22"/>
        </w:rPr>
      </w:pPr>
      <w:r>
        <w:rPr>
          <w:rFonts w:ascii="Calibri" w:hAnsi="Calibri" w:cs="Calibri"/>
          <w:color w:val="auto"/>
          <w:sz w:val="22"/>
          <w:szCs w:val="22"/>
        </w:rPr>
        <w:t>Wor</w:t>
      </w:r>
      <w:r w:rsidR="000E7B6C">
        <w:rPr>
          <w:rFonts w:ascii="Calibri" w:hAnsi="Calibri" w:cs="Calibri"/>
          <w:color w:val="auto"/>
          <w:sz w:val="22"/>
          <w:szCs w:val="22"/>
        </w:rPr>
        <w:t xml:space="preserve">d Analysis Tasks </w:t>
      </w:r>
      <w:r w:rsidR="002149DA">
        <w:rPr>
          <w:rFonts w:ascii="Calibri" w:hAnsi="Calibri" w:cs="Calibri"/>
          <w:color w:val="auto"/>
          <w:sz w:val="22"/>
          <w:szCs w:val="22"/>
        </w:rPr>
        <w:t xml:space="preserve">in </w:t>
      </w:r>
      <w:r w:rsidR="0002706F">
        <w:rPr>
          <w:rFonts w:ascii="Calibri" w:hAnsi="Calibri" w:cs="Calibri"/>
          <w:color w:val="auto"/>
          <w:sz w:val="22"/>
          <w:szCs w:val="22"/>
        </w:rPr>
        <w:t>1</w:t>
      </w:r>
      <w:r w:rsidR="0002706F" w:rsidRPr="0002706F">
        <w:rPr>
          <w:rFonts w:ascii="Calibri" w:hAnsi="Calibri" w:cs="Calibri"/>
          <w:color w:val="auto"/>
          <w:sz w:val="22"/>
          <w:szCs w:val="22"/>
          <w:vertAlign w:val="superscript"/>
        </w:rPr>
        <w:t>st</w:t>
      </w:r>
      <w:r w:rsidR="0002706F">
        <w:rPr>
          <w:rFonts w:ascii="Calibri" w:hAnsi="Calibri" w:cs="Calibri"/>
          <w:color w:val="auto"/>
          <w:sz w:val="22"/>
          <w:szCs w:val="22"/>
        </w:rPr>
        <w:t xml:space="preserve"> and 2</w:t>
      </w:r>
      <w:r w:rsidR="0002706F" w:rsidRPr="0002706F">
        <w:rPr>
          <w:rFonts w:ascii="Calibri" w:hAnsi="Calibri" w:cs="Calibri"/>
          <w:color w:val="auto"/>
          <w:sz w:val="22"/>
          <w:szCs w:val="22"/>
          <w:vertAlign w:val="superscript"/>
        </w:rPr>
        <w:t>nd</w:t>
      </w:r>
      <w:r w:rsidR="0002706F">
        <w:rPr>
          <w:rFonts w:ascii="Calibri" w:hAnsi="Calibri" w:cs="Calibri"/>
          <w:color w:val="auto"/>
          <w:sz w:val="22"/>
          <w:szCs w:val="22"/>
        </w:rPr>
        <w:t xml:space="preserve"> </w:t>
      </w:r>
      <w:r w:rsidR="002149DA">
        <w:rPr>
          <w:rFonts w:ascii="Calibri" w:hAnsi="Calibri" w:cs="Calibri"/>
          <w:color w:val="auto"/>
          <w:sz w:val="22"/>
          <w:szCs w:val="22"/>
        </w:rPr>
        <w:t xml:space="preserve">grades certainly add to the instructional knowledge gathered about each student, but </w:t>
      </w:r>
      <w:r w:rsidR="00030C75">
        <w:rPr>
          <w:rFonts w:ascii="Calibri" w:hAnsi="Calibri" w:cs="Calibri"/>
          <w:color w:val="auto"/>
          <w:sz w:val="22"/>
          <w:szCs w:val="22"/>
        </w:rPr>
        <w:t>these scores will not be uploaded to Infinite Campus.</w:t>
      </w:r>
    </w:p>
    <w:p w14:paraId="4DA5C588" w14:textId="77777777" w:rsidR="00534C1D" w:rsidRPr="00410F33" w:rsidRDefault="00534C1D" w:rsidP="00534C1D">
      <w:pPr>
        <w:pStyle w:val="Default"/>
        <w:rPr>
          <w:rFonts w:ascii="Calibri" w:hAnsi="Calibri" w:cs="Calibri"/>
          <w:color w:val="auto"/>
          <w:sz w:val="22"/>
          <w:szCs w:val="22"/>
        </w:rPr>
      </w:pPr>
    </w:p>
    <w:p w14:paraId="6B97D768" w14:textId="2E787218" w:rsidR="00534C1D"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Required DRA2 assessment components for</w:t>
      </w:r>
      <w:r w:rsidR="00D42C1A">
        <w:rPr>
          <w:rFonts w:ascii="Calibri" w:hAnsi="Calibri" w:cs="Calibri"/>
          <w:color w:val="auto"/>
          <w:sz w:val="22"/>
          <w:szCs w:val="22"/>
        </w:rPr>
        <w:t xml:space="preserve"> identified Kindergarten readers and</w:t>
      </w:r>
      <w:r w:rsidRPr="00410F33">
        <w:rPr>
          <w:rFonts w:ascii="Calibri" w:hAnsi="Calibri" w:cs="Calibri"/>
          <w:color w:val="auto"/>
          <w:sz w:val="22"/>
          <w:szCs w:val="22"/>
        </w:rPr>
        <w:t xml:space="preserve"> </w:t>
      </w:r>
      <w:r w:rsidR="00D42C1A">
        <w:rPr>
          <w:rFonts w:ascii="Calibri" w:hAnsi="Calibri" w:cs="Calibri"/>
          <w:color w:val="auto"/>
          <w:sz w:val="22"/>
          <w:szCs w:val="22"/>
        </w:rPr>
        <w:t xml:space="preserve">all </w:t>
      </w:r>
      <w:r w:rsidRPr="00410F33">
        <w:rPr>
          <w:rFonts w:ascii="Calibri" w:hAnsi="Calibri" w:cs="Calibri"/>
          <w:color w:val="auto"/>
          <w:sz w:val="22"/>
          <w:szCs w:val="22"/>
        </w:rPr>
        <w:t>1</w:t>
      </w:r>
      <w:r w:rsidRPr="00410F33">
        <w:rPr>
          <w:rFonts w:ascii="Calibri" w:hAnsi="Calibri" w:cs="Calibri"/>
          <w:color w:val="auto"/>
          <w:sz w:val="22"/>
          <w:szCs w:val="22"/>
          <w:vertAlign w:val="superscript"/>
        </w:rPr>
        <w:t>st</w:t>
      </w:r>
      <w:r w:rsidR="00D42C1A">
        <w:rPr>
          <w:rFonts w:ascii="Calibri" w:hAnsi="Calibri" w:cs="Calibri"/>
          <w:color w:val="auto"/>
          <w:sz w:val="22"/>
          <w:szCs w:val="22"/>
          <w:vertAlign w:val="superscript"/>
        </w:rPr>
        <w:t xml:space="preserve"> </w:t>
      </w:r>
      <w:r w:rsidR="00D42C1A">
        <w:rPr>
          <w:rFonts w:ascii="Calibri" w:hAnsi="Calibri" w:cs="Calibri"/>
          <w:color w:val="auto"/>
          <w:sz w:val="22"/>
          <w:szCs w:val="22"/>
        </w:rPr>
        <w:t xml:space="preserve">and </w:t>
      </w:r>
      <w:r w:rsidRPr="00410F33">
        <w:rPr>
          <w:rFonts w:ascii="Calibri" w:hAnsi="Calibri" w:cs="Calibri"/>
          <w:color w:val="auto"/>
          <w:sz w:val="22"/>
          <w:szCs w:val="22"/>
        </w:rPr>
        <w:t>2</w:t>
      </w:r>
      <w:r w:rsidRPr="00410F33">
        <w:rPr>
          <w:rFonts w:ascii="Calibri" w:hAnsi="Calibri" w:cs="Calibri"/>
          <w:color w:val="auto"/>
          <w:sz w:val="22"/>
          <w:szCs w:val="22"/>
          <w:vertAlign w:val="superscript"/>
        </w:rPr>
        <w:t>nd</w:t>
      </w:r>
      <w:r w:rsidRPr="00410F33">
        <w:rPr>
          <w:rFonts w:ascii="Calibri" w:hAnsi="Calibri" w:cs="Calibri"/>
          <w:color w:val="auto"/>
          <w:sz w:val="22"/>
          <w:szCs w:val="22"/>
        </w:rPr>
        <w:t xml:space="preserve"> Grade</w:t>
      </w:r>
      <w:r w:rsidR="00D42C1A">
        <w:rPr>
          <w:rFonts w:ascii="Calibri" w:hAnsi="Calibri" w:cs="Calibri"/>
          <w:color w:val="auto"/>
          <w:sz w:val="22"/>
          <w:szCs w:val="22"/>
        </w:rPr>
        <w:t>rs</w:t>
      </w:r>
      <w:r w:rsidRPr="00410F33">
        <w:rPr>
          <w:rFonts w:ascii="Calibri" w:hAnsi="Calibri" w:cs="Calibri"/>
          <w:color w:val="auto"/>
          <w:sz w:val="22"/>
          <w:szCs w:val="22"/>
        </w:rPr>
        <w:t xml:space="preserve">: Reading Engagement, Oral Reading Fluency (ORF), and Comprehension. </w:t>
      </w:r>
      <w:r w:rsidR="00A073B5">
        <w:rPr>
          <w:rFonts w:ascii="Calibri" w:hAnsi="Calibri" w:cs="Calibri"/>
          <w:color w:val="auto"/>
          <w:sz w:val="22"/>
          <w:szCs w:val="22"/>
        </w:rPr>
        <w:t xml:space="preserve">Scoring of these components should be in compliance with DRA2 Guidelines found in the DRA2 Teacher Guide. </w:t>
      </w:r>
      <w:r w:rsidRPr="00410F33">
        <w:rPr>
          <w:rFonts w:ascii="Calibri" w:hAnsi="Calibri" w:cs="Calibri"/>
          <w:color w:val="auto"/>
          <w:sz w:val="22"/>
          <w:szCs w:val="22"/>
        </w:rPr>
        <w:t xml:space="preserve">Reading Engagement must be administered, but is not used for determining the highest independent reading level. </w:t>
      </w:r>
    </w:p>
    <w:p w14:paraId="3B2FAB4A" w14:textId="77777777" w:rsidR="00534C1D" w:rsidRPr="00410F33" w:rsidRDefault="00534C1D" w:rsidP="00534C1D">
      <w:pPr>
        <w:pStyle w:val="Default"/>
        <w:rPr>
          <w:rFonts w:ascii="Calibri" w:hAnsi="Calibri" w:cs="Calibri"/>
          <w:color w:val="auto"/>
          <w:sz w:val="22"/>
          <w:szCs w:val="22"/>
        </w:rPr>
      </w:pPr>
    </w:p>
    <w:p w14:paraId="2ECB0F20" w14:textId="6D1EDEE4" w:rsidR="00534C1D"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Teachers are required to confirm the independent DRA2 reading level (ORF and Comprehension) of each student</w:t>
      </w:r>
      <w:r w:rsidR="000E7B6C">
        <w:rPr>
          <w:rFonts w:ascii="Calibri" w:hAnsi="Calibri" w:cs="Calibri"/>
          <w:color w:val="auto"/>
          <w:sz w:val="22"/>
          <w:szCs w:val="22"/>
        </w:rPr>
        <w:t xml:space="preserve">. Teachers can begin with the level from the previous </w:t>
      </w:r>
      <w:r w:rsidR="00D42C1A">
        <w:rPr>
          <w:rFonts w:ascii="Calibri" w:hAnsi="Calibri" w:cs="Calibri"/>
          <w:color w:val="auto"/>
          <w:sz w:val="22"/>
          <w:szCs w:val="22"/>
        </w:rPr>
        <w:t>SPRING</w:t>
      </w:r>
      <w:r w:rsidR="000E7B6C">
        <w:rPr>
          <w:rFonts w:ascii="Calibri" w:hAnsi="Calibri" w:cs="Calibri"/>
          <w:color w:val="auto"/>
          <w:sz w:val="22"/>
          <w:szCs w:val="22"/>
        </w:rPr>
        <w:t xml:space="preserve"> to identify current independent reading level. If the student </w:t>
      </w:r>
      <w:r w:rsidR="000E7B6C" w:rsidRPr="00D42C1A">
        <w:rPr>
          <w:rFonts w:ascii="Calibri" w:hAnsi="Calibri" w:cs="Calibri"/>
          <w:color w:val="auto"/>
          <w:sz w:val="22"/>
          <w:szCs w:val="22"/>
          <w:u w:val="single"/>
        </w:rPr>
        <w:t>cannot</w:t>
      </w:r>
      <w:r w:rsidR="000E7B6C">
        <w:rPr>
          <w:rFonts w:ascii="Calibri" w:hAnsi="Calibri" w:cs="Calibri"/>
          <w:color w:val="auto"/>
          <w:sz w:val="22"/>
          <w:szCs w:val="22"/>
        </w:rPr>
        <w:t xml:space="preserve"> read</w:t>
      </w:r>
      <w:r w:rsidRPr="00410F33">
        <w:rPr>
          <w:rFonts w:ascii="Calibri" w:hAnsi="Calibri" w:cs="Calibri"/>
          <w:color w:val="auto"/>
          <w:sz w:val="22"/>
          <w:szCs w:val="22"/>
        </w:rPr>
        <w:t xml:space="preserve"> spring level </w:t>
      </w:r>
      <w:r w:rsidR="000E7B6C">
        <w:rPr>
          <w:rFonts w:ascii="Calibri" w:hAnsi="Calibri" w:cs="Calibri"/>
          <w:color w:val="auto"/>
          <w:sz w:val="22"/>
          <w:szCs w:val="22"/>
        </w:rPr>
        <w:t>independently, testing down is necessary</w:t>
      </w:r>
      <w:r w:rsidR="00D42C1A">
        <w:rPr>
          <w:rFonts w:ascii="Calibri" w:hAnsi="Calibri" w:cs="Calibri"/>
          <w:color w:val="auto"/>
          <w:sz w:val="22"/>
          <w:szCs w:val="22"/>
        </w:rPr>
        <w:t xml:space="preserve"> as it </w:t>
      </w:r>
      <w:r w:rsidR="00D42C1A" w:rsidRPr="00410F33">
        <w:rPr>
          <w:rFonts w:ascii="Calibri" w:hAnsi="Calibri" w:cs="Calibri"/>
          <w:color w:val="auto"/>
          <w:sz w:val="22"/>
          <w:szCs w:val="22"/>
        </w:rPr>
        <w:t>offer</w:t>
      </w:r>
      <w:r w:rsidR="00D42C1A">
        <w:rPr>
          <w:rFonts w:ascii="Calibri" w:hAnsi="Calibri" w:cs="Calibri"/>
          <w:color w:val="auto"/>
          <w:sz w:val="22"/>
          <w:szCs w:val="22"/>
        </w:rPr>
        <w:t>s</w:t>
      </w:r>
      <w:r w:rsidR="00D42C1A" w:rsidRPr="00410F33">
        <w:rPr>
          <w:rFonts w:ascii="Calibri" w:hAnsi="Calibri" w:cs="Calibri"/>
          <w:color w:val="auto"/>
          <w:sz w:val="22"/>
          <w:szCs w:val="22"/>
        </w:rPr>
        <w:t xml:space="preserve"> impo</w:t>
      </w:r>
      <w:r w:rsidR="00D42C1A">
        <w:rPr>
          <w:rFonts w:ascii="Calibri" w:hAnsi="Calibri" w:cs="Calibri"/>
          <w:color w:val="auto"/>
          <w:sz w:val="22"/>
          <w:szCs w:val="22"/>
        </w:rPr>
        <w:t>rtant instructional information</w:t>
      </w:r>
      <w:r w:rsidR="000E7B6C">
        <w:rPr>
          <w:rFonts w:ascii="Calibri" w:hAnsi="Calibri" w:cs="Calibri"/>
          <w:color w:val="auto"/>
          <w:sz w:val="22"/>
          <w:szCs w:val="22"/>
        </w:rPr>
        <w:t xml:space="preserve">. If the student </w:t>
      </w:r>
      <w:r w:rsidR="000E7B6C" w:rsidRPr="00D42C1A">
        <w:rPr>
          <w:rFonts w:ascii="Calibri" w:hAnsi="Calibri" w:cs="Calibri"/>
          <w:color w:val="auto"/>
          <w:sz w:val="22"/>
          <w:szCs w:val="22"/>
          <w:u w:val="single"/>
        </w:rPr>
        <w:t>can</w:t>
      </w:r>
      <w:r w:rsidR="000E7B6C">
        <w:rPr>
          <w:rFonts w:ascii="Calibri" w:hAnsi="Calibri" w:cs="Calibri"/>
          <w:color w:val="auto"/>
          <w:sz w:val="22"/>
          <w:szCs w:val="22"/>
        </w:rPr>
        <w:t xml:space="preserve"> read</w:t>
      </w:r>
      <w:r w:rsidR="000E7B6C" w:rsidRPr="00410F33">
        <w:rPr>
          <w:rFonts w:ascii="Calibri" w:hAnsi="Calibri" w:cs="Calibri"/>
          <w:color w:val="auto"/>
          <w:sz w:val="22"/>
          <w:szCs w:val="22"/>
        </w:rPr>
        <w:t xml:space="preserve"> </w:t>
      </w:r>
      <w:r w:rsidR="00D42C1A">
        <w:rPr>
          <w:rFonts w:ascii="Calibri" w:hAnsi="Calibri" w:cs="Calibri"/>
          <w:color w:val="auto"/>
          <w:sz w:val="22"/>
          <w:szCs w:val="22"/>
        </w:rPr>
        <w:t>SPRING</w:t>
      </w:r>
      <w:r w:rsidR="000E7B6C" w:rsidRPr="00410F33">
        <w:rPr>
          <w:rFonts w:ascii="Calibri" w:hAnsi="Calibri" w:cs="Calibri"/>
          <w:color w:val="auto"/>
          <w:sz w:val="22"/>
          <w:szCs w:val="22"/>
        </w:rPr>
        <w:t xml:space="preserve"> level </w:t>
      </w:r>
      <w:r w:rsidR="000E7B6C">
        <w:rPr>
          <w:rFonts w:ascii="Calibri" w:hAnsi="Calibri" w:cs="Calibri"/>
          <w:color w:val="auto"/>
          <w:sz w:val="22"/>
          <w:szCs w:val="22"/>
        </w:rPr>
        <w:t xml:space="preserve">independently, testing up is necessary as it </w:t>
      </w:r>
      <w:r w:rsidR="00D42C1A">
        <w:rPr>
          <w:rFonts w:ascii="Calibri" w:hAnsi="Calibri" w:cs="Calibri"/>
          <w:color w:val="auto"/>
          <w:sz w:val="22"/>
          <w:szCs w:val="22"/>
        </w:rPr>
        <w:t xml:space="preserve">also </w:t>
      </w:r>
      <w:r w:rsidRPr="00410F33">
        <w:rPr>
          <w:rFonts w:ascii="Calibri" w:hAnsi="Calibri" w:cs="Calibri"/>
          <w:color w:val="auto"/>
          <w:sz w:val="22"/>
          <w:szCs w:val="22"/>
        </w:rPr>
        <w:t>offer</w:t>
      </w:r>
      <w:r w:rsidR="000E7B6C">
        <w:rPr>
          <w:rFonts w:ascii="Calibri" w:hAnsi="Calibri" w:cs="Calibri"/>
          <w:color w:val="auto"/>
          <w:sz w:val="22"/>
          <w:szCs w:val="22"/>
        </w:rPr>
        <w:t>s</w:t>
      </w:r>
      <w:r w:rsidRPr="00410F33">
        <w:rPr>
          <w:rFonts w:ascii="Calibri" w:hAnsi="Calibri" w:cs="Calibri"/>
          <w:color w:val="auto"/>
          <w:sz w:val="22"/>
          <w:szCs w:val="22"/>
        </w:rPr>
        <w:t xml:space="preserve"> important instructional information. The Teacher Observation Guide and Student Booklet, when appropriate, need to be kept in the student’s literacy folder. </w:t>
      </w:r>
    </w:p>
    <w:p w14:paraId="6B859097" w14:textId="77777777" w:rsidR="00534C1D" w:rsidRPr="00410F33" w:rsidRDefault="00534C1D" w:rsidP="00534C1D">
      <w:pPr>
        <w:pStyle w:val="Default"/>
        <w:rPr>
          <w:rFonts w:ascii="Calibri" w:hAnsi="Calibri" w:cs="Calibri"/>
          <w:color w:val="auto"/>
          <w:sz w:val="22"/>
          <w:szCs w:val="22"/>
        </w:rPr>
      </w:pPr>
    </w:p>
    <w:p w14:paraId="7E08D8C7" w14:textId="7724A5EE" w:rsidR="00534C1D" w:rsidRPr="00410F33" w:rsidRDefault="00C35109" w:rsidP="00F906F9">
      <w:pPr>
        <w:pStyle w:val="Default"/>
        <w:numPr>
          <w:ilvl w:val="0"/>
          <w:numId w:val="1"/>
        </w:numPr>
        <w:rPr>
          <w:rFonts w:ascii="Calibri" w:hAnsi="Calibri" w:cs="Calibri"/>
          <w:color w:val="auto"/>
          <w:sz w:val="22"/>
          <w:szCs w:val="22"/>
        </w:rPr>
      </w:pPr>
      <w:r>
        <w:rPr>
          <w:rFonts w:ascii="Calibri" w:hAnsi="Calibri" w:cs="Calibri"/>
          <w:color w:val="auto"/>
          <w:sz w:val="22"/>
          <w:szCs w:val="22"/>
        </w:rPr>
        <w:t>Data that</w:t>
      </w:r>
      <w:r w:rsidR="006109CF" w:rsidRPr="00410F33">
        <w:rPr>
          <w:rFonts w:ascii="Calibri" w:hAnsi="Calibri" w:cs="Calibri"/>
          <w:color w:val="auto"/>
          <w:sz w:val="22"/>
          <w:szCs w:val="22"/>
        </w:rPr>
        <w:t xml:space="preserve"> </w:t>
      </w:r>
      <w:r w:rsidR="00F906F9" w:rsidRPr="00410F33">
        <w:rPr>
          <w:rFonts w:ascii="Calibri" w:hAnsi="Calibri" w:cs="Calibri"/>
          <w:color w:val="auto"/>
          <w:sz w:val="22"/>
          <w:szCs w:val="22"/>
        </w:rPr>
        <w:t xml:space="preserve">must be entered into </w:t>
      </w:r>
      <w:r w:rsidR="00534C1D" w:rsidRPr="00410F33">
        <w:rPr>
          <w:rFonts w:ascii="Calibri" w:hAnsi="Calibri" w:cs="Calibri"/>
          <w:color w:val="auto"/>
          <w:sz w:val="22"/>
          <w:szCs w:val="22"/>
        </w:rPr>
        <w:t>Infinite Campus</w:t>
      </w:r>
      <w:r w:rsidR="00F906F9" w:rsidRPr="00410F33">
        <w:rPr>
          <w:rFonts w:ascii="Calibri" w:hAnsi="Calibri" w:cs="Calibri"/>
          <w:color w:val="auto"/>
          <w:sz w:val="22"/>
          <w:szCs w:val="22"/>
        </w:rPr>
        <w:t xml:space="preserve">: </w:t>
      </w:r>
    </w:p>
    <w:p w14:paraId="34714819" w14:textId="449A3E1E" w:rsidR="00534C1D" w:rsidRPr="00410F33" w:rsidRDefault="003638B7" w:rsidP="003638B7">
      <w:pPr>
        <w:pStyle w:val="Default"/>
        <w:numPr>
          <w:ilvl w:val="0"/>
          <w:numId w:val="2"/>
        </w:numPr>
        <w:rPr>
          <w:rFonts w:ascii="Calibri" w:hAnsi="Calibri" w:cs="Calibri"/>
          <w:color w:val="auto"/>
          <w:sz w:val="22"/>
          <w:szCs w:val="22"/>
        </w:rPr>
      </w:pPr>
      <w:r w:rsidRPr="00410F33">
        <w:rPr>
          <w:rFonts w:ascii="Calibri" w:hAnsi="Calibri" w:cs="Calibri"/>
          <w:color w:val="auto"/>
          <w:sz w:val="22"/>
          <w:szCs w:val="22"/>
        </w:rPr>
        <w:t>T</w:t>
      </w:r>
      <w:r w:rsidR="00F906F9" w:rsidRPr="00410F33">
        <w:rPr>
          <w:rFonts w:ascii="Calibri" w:hAnsi="Calibri" w:cs="Calibri"/>
          <w:color w:val="auto"/>
          <w:sz w:val="22"/>
          <w:szCs w:val="22"/>
        </w:rPr>
        <w:t>he i</w:t>
      </w:r>
      <w:r w:rsidR="00534C1D" w:rsidRPr="00410F33">
        <w:rPr>
          <w:rFonts w:ascii="Calibri" w:hAnsi="Calibri" w:cs="Calibri"/>
          <w:color w:val="auto"/>
          <w:sz w:val="22"/>
          <w:szCs w:val="22"/>
        </w:rPr>
        <w:t>ndependent DRA2 level</w:t>
      </w:r>
      <w:r w:rsidR="00C35109">
        <w:rPr>
          <w:rFonts w:ascii="Calibri" w:hAnsi="Calibri" w:cs="Calibri"/>
          <w:color w:val="auto"/>
          <w:sz w:val="22"/>
          <w:szCs w:val="22"/>
        </w:rPr>
        <w:t xml:space="preserve"> </w:t>
      </w:r>
    </w:p>
    <w:p w14:paraId="3E004BA2" w14:textId="77777777" w:rsidR="00F906F9" w:rsidRPr="00410F33" w:rsidRDefault="003638B7" w:rsidP="00534C1D">
      <w:pPr>
        <w:pStyle w:val="Default"/>
        <w:numPr>
          <w:ilvl w:val="0"/>
          <w:numId w:val="2"/>
        </w:numPr>
        <w:rPr>
          <w:rFonts w:ascii="Calibri" w:hAnsi="Calibri" w:cs="Calibri"/>
          <w:color w:val="auto"/>
          <w:sz w:val="22"/>
          <w:szCs w:val="22"/>
        </w:rPr>
      </w:pPr>
      <w:r w:rsidRPr="00410F33">
        <w:rPr>
          <w:rFonts w:ascii="Calibri" w:hAnsi="Calibri" w:cs="Calibri"/>
          <w:color w:val="auto"/>
          <w:sz w:val="22"/>
          <w:szCs w:val="22"/>
        </w:rPr>
        <w:t>W</w:t>
      </w:r>
      <w:r w:rsidR="00F906F9" w:rsidRPr="00410F33">
        <w:rPr>
          <w:rFonts w:ascii="Calibri" w:hAnsi="Calibri" w:cs="Calibri"/>
          <w:color w:val="auto"/>
          <w:sz w:val="22"/>
          <w:szCs w:val="22"/>
        </w:rPr>
        <w:t>hether a student received an acc</w:t>
      </w:r>
      <w:r w:rsidRPr="00410F33">
        <w:rPr>
          <w:rFonts w:ascii="Calibri" w:hAnsi="Calibri" w:cs="Calibri"/>
          <w:color w:val="auto"/>
          <w:sz w:val="22"/>
          <w:szCs w:val="22"/>
        </w:rPr>
        <w:t>ommodation during DRA2 testing</w:t>
      </w:r>
    </w:p>
    <w:p w14:paraId="2C625D98" w14:textId="77777777" w:rsidR="00F906F9" w:rsidRPr="00410F33" w:rsidRDefault="00F906F9" w:rsidP="00F906F9">
      <w:pPr>
        <w:pStyle w:val="Default"/>
        <w:rPr>
          <w:rFonts w:cs="Times New Roman"/>
          <w:color w:val="auto"/>
          <w:sz w:val="22"/>
          <w:szCs w:val="22"/>
        </w:rPr>
      </w:pPr>
    </w:p>
    <w:p w14:paraId="54AD5E98" w14:textId="7AD7DAFA" w:rsidR="00F906F9" w:rsidRPr="0046492E" w:rsidRDefault="0046492E" w:rsidP="00F906F9">
      <w:pPr>
        <w:pStyle w:val="Default"/>
        <w:pageBreakBefore/>
        <w:rPr>
          <w:rFonts w:ascii="Calibri" w:hAnsi="Calibri" w:cs="Calibri"/>
          <w:b/>
          <w:bCs/>
          <w:color w:val="auto"/>
          <w:szCs w:val="22"/>
          <w:u w:val="single"/>
        </w:rPr>
      </w:pPr>
      <w:r w:rsidRPr="0046492E">
        <w:rPr>
          <w:rFonts w:ascii="Calibri" w:hAnsi="Calibri" w:cs="Calibri"/>
          <w:b/>
          <w:bCs/>
          <w:color w:val="auto"/>
          <w:szCs w:val="22"/>
          <w:u w:val="single"/>
        </w:rPr>
        <w:lastRenderedPageBreak/>
        <w:t>SPRING</w:t>
      </w:r>
    </w:p>
    <w:p w14:paraId="3D3E192C" w14:textId="77777777" w:rsidR="009361D3" w:rsidRPr="00410F33" w:rsidRDefault="009361D3" w:rsidP="00F906F9">
      <w:pPr>
        <w:pStyle w:val="Default"/>
        <w:rPr>
          <w:rFonts w:ascii="Calibri" w:hAnsi="Calibri" w:cs="Calibri"/>
          <w:color w:val="auto"/>
          <w:sz w:val="22"/>
          <w:szCs w:val="22"/>
        </w:rPr>
      </w:pPr>
    </w:p>
    <w:p w14:paraId="58D51295" w14:textId="257E836C" w:rsidR="009361D3" w:rsidRPr="00410F33" w:rsidRDefault="009361D3" w:rsidP="00410F33">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The DRA2 should be administered to all students i</w:t>
      </w:r>
      <w:r w:rsidR="0046492E">
        <w:rPr>
          <w:rFonts w:ascii="Calibri" w:hAnsi="Calibri" w:cs="Calibri"/>
          <w:color w:val="auto"/>
          <w:sz w:val="22"/>
          <w:szCs w:val="22"/>
        </w:rPr>
        <w:t>n grades K-3</w:t>
      </w:r>
      <w:r w:rsidRPr="00410F33">
        <w:rPr>
          <w:rFonts w:ascii="Calibri" w:hAnsi="Calibri" w:cs="Calibri"/>
          <w:color w:val="auto"/>
          <w:sz w:val="22"/>
          <w:szCs w:val="22"/>
        </w:rPr>
        <w:t>.</w:t>
      </w:r>
      <w:r w:rsidR="00410F33" w:rsidRPr="00410F33">
        <w:rPr>
          <w:rFonts w:ascii="Calibri" w:hAnsi="Calibri" w:cs="Calibri"/>
          <w:color w:val="auto"/>
          <w:sz w:val="22"/>
          <w:szCs w:val="22"/>
        </w:rPr>
        <w:br/>
      </w:r>
      <w:r w:rsidR="00410F33" w:rsidRPr="00410F33">
        <w:rPr>
          <w:rFonts w:ascii="Calibri" w:hAnsi="Calibri" w:cs="Calibri"/>
          <w:color w:val="auto"/>
          <w:sz w:val="16"/>
          <w:szCs w:val="22"/>
        </w:rPr>
        <w:t xml:space="preserve">See the Elementary Testing Schedule from The Office of Accreditation and Accountability for testing windows. </w:t>
      </w:r>
    </w:p>
    <w:p w14:paraId="51279742" w14:textId="77777777" w:rsidR="009361D3" w:rsidRPr="00410F33" w:rsidRDefault="009361D3" w:rsidP="009361D3">
      <w:pPr>
        <w:pStyle w:val="Default"/>
        <w:rPr>
          <w:rFonts w:ascii="Calibri" w:hAnsi="Calibri" w:cs="Calibri"/>
          <w:color w:val="auto"/>
          <w:sz w:val="22"/>
          <w:szCs w:val="22"/>
        </w:rPr>
      </w:pPr>
    </w:p>
    <w:p w14:paraId="529699CE" w14:textId="12D8E09A" w:rsidR="009361D3"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Required </w:t>
      </w:r>
      <w:r w:rsidR="0046492E">
        <w:rPr>
          <w:rFonts w:ascii="Calibri" w:hAnsi="Calibri" w:cs="Calibri"/>
          <w:color w:val="auto"/>
          <w:sz w:val="22"/>
          <w:szCs w:val="22"/>
        </w:rPr>
        <w:t>SPRING</w:t>
      </w:r>
      <w:r w:rsidR="00410F33">
        <w:rPr>
          <w:rFonts w:ascii="Calibri" w:hAnsi="Calibri" w:cs="Calibri"/>
          <w:color w:val="auto"/>
          <w:sz w:val="22"/>
          <w:szCs w:val="22"/>
        </w:rPr>
        <w:t xml:space="preserve"> </w:t>
      </w:r>
      <w:r w:rsidRPr="00410F33">
        <w:rPr>
          <w:rFonts w:ascii="Calibri" w:hAnsi="Calibri" w:cs="Calibri"/>
          <w:color w:val="auto"/>
          <w:sz w:val="22"/>
          <w:szCs w:val="22"/>
        </w:rPr>
        <w:t>DRA2 assessment components</w:t>
      </w:r>
      <w:r w:rsidR="002A2A02" w:rsidRPr="00410F33">
        <w:rPr>
          <w:rFonts w:ascii="Calibri" w:hAnsi="Calibri" w:cs="Calibri"/>
          <w:color w:val="auto"/>
          <w:sz w:val="22"/>
          <w:szCs w:val="22"/>
        </w:rPr>
        <w:t xml:space="preserve"> for Kindergarten, 1</w:t>
      </w:r>
      <w:r w:rsidR="002A2A02" w:rsidRPr="00410F33">
        <w:rPr>
          <w:rFonts w:ascii="Calibri" w:hAnsi="Calibri" w:cs="Calibri"/>
          <w:color w:val="auto"/>
          <w:sz w:val="22"/>
          <w:szCs w:val="22"/>
          <w:vertAlign w:val="superscript"/>
        </w:rPr>
        <w:t>st</w:t>
      </w:r>
      <w:r w:rsidR="0046492E">
        <w:rPr>
          <w:rFonts w:ascii="Calibri" w:hAnsi="Calibri" w:cs="Calibri"/>
          <w:color w:val="auto"/>
          <w:sz w:val="22"/>
          <w:szCs w:val="22"/>
        </w:rPr>
        <w:t>,</w:t>
      </w:r>
      <w:r w:rsidR="002A2A02" w:rsidRPr="00410F33">
        <w:rPr>
          <w:rFonts w:ascii="Calibri" w:hAnsi="Calibri" w:cs="Calibri"/>
          <w:color w:val="auto"/>
          <w:sz w:val="22"/>
          <w:szCs w:val="22"/>
        </w:rPr>
        <w:t xml:space="preserve"> 2</w:t>
      </w:r>
      <w:r w:rsidR="002A2A02" w:rsidRPr="00410F33">
        <w:rPr>
          <w:rFonts w:ascii="Calibri" w:hAnsi="Calibri" w:cs="Calibri"/>
          <w:color w:val="auto"/>
          <w:sz w:val="22"/>
          <w:szCs w:val="22"/>
          <w:vertAlign w:val="superscript"/>
        </w:rPr>
        <w:t>nd</w:t>
      </w:r>
      <w:r w:rsidR="002A2A02" w:rsidRPr="00410F33">
        <w:rPr>
          <w:rFonts w:ascii="Calibri" w:hAnsi="Calibri" w:cs="Calibri"/>
          <w:color w:val="auto"/>
          <w:sz w:val="22"/>
          <w:szCs w:val="22"/>
        </w:rPr>
        <w:t xml:space="preserve"> </w:t>
      </w:r>
      <w:r w:rsidR="0046492E">
        <w:rPr>
          <w:rFonts w:ascii="Calibri" w:hAnsi="Calibri" w:cs="Calibri"/>
          <w:color w:val="auto"/>
          <w:sz w:val="22"/>
          <w:szCs w:val="22"/>
        </w:rPr>
        <w:t>and 3</w:t>
      </w:r>
      <w:r w:rsidR="0046492E" w:rsidRPr="0046492E">
        <w:rPr>
          <w:rFonts w:ascii="Calibri" w:hAnsi="Calibri" w:cs="Calibri"/>
          <w:color w:val="auto"/>
          <w:sz w:val="22"/>
          <w:szCs w:val="22"/>
          <w:vertAlign w:val="superscript"/>
        </w:rPr>
        <w:t>rd</w:t>
      </w:r>
      <w:r w:rsidR="0046492E">
        <w:rPr>
          <w:rFonts w:ascii="Calibri" w:hAnsi="Calibri" w:cs="Calibri"/>
          <w:color w:val="auto"/>
          <w:sz w:val="22"/>
          <w:szCs w:val="22"/>
        </w:rPr>
        <w:t xml:space="preserve"> </w:t>
      </w:r>
      <w:r w:rsidR="002A2A02" w:rsidRPr="00410F33">
        <w:rPr>
          <w:rFonts w:ascii="Calibri" w:hAnsi="Calibri" w:cs="Calibri"/>
          <w:color w:val="auto"/>
          <w:sz w:val="22"/>
          <w:szCs w:val="22"/>
        </w:rPr>
        <w:t>Grade</w:t>
      </w:r>
      <w:r w:rsidRPr="00410F33">
        <w:rPr>
          <w:rFonts w:ascii="Calibri" w:hAnsi="Calibri" w:cs="Calibri"/>
          <w:color w:val="auto"/>
          <w:sz w:val="22"/>
          <w:szCs w:val="22"/>
        </w:rPr>
        <w:t xml:space="preserve">: Reading Engagement, Oral Reading Fluency (ORF), and Comprehension. Reading Engagement must be administered, but is not used for determining the highest independent reading level. </w:t>
      </w:r>
    </w:p>
    <w:p w14:paraId="292F0D9F" w14:textId="77777777" w:rsidR="009361D3" w:rsidRPr="00410F33" w:rsidRDefault="009361D3" w:rsidP="009361D3">
      <w:pPr>
        <w:pStyle w:val="Default"/>
        <w:rPr>
          <w:rFonts w:ascii="Calibri" w:hAnsi="Calibri" w:cs="Calibri"/>
          <w:color w:val="auto"/>
          <w:sz w:val="22"/>
          <w:szCs w:val="22"/>
        </w:rPr>
      </w:pPr>
    </w:p>
    <w:p w14:paraId="506AF6E9" w14:textId="4FC3DC87" w:rsidR="002A2A02"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Teachers are </w:t>
      </w:r>
      <w:r w:rsidRPr="00410F33">
        <w:rPr>
          <w:rFonts w:ascii="Calibri" w:hAnsi="Calibri" w:cs="Calibri"/>
          <w:b/>
          <w:color w:val="auto"/>
          <w:sz w:val="22"/>
          <w:szCs w:val="22"/>
        </w:rPr>
        <w:t>required to find each student’s highest DRA2 independent reading level</w:t>
      </w:r>
      <w:r w:rsidRPr="00410F33">
        <w:rPr>
          <w:rFonts w:ascii="Calibri" w:hAnsi="Calibri" w:cs="Calibri"/>
          <w:color w:val="auto"/>
          <w:sz w:val="22"/>
          <w:szCs w:val="22"/>
        </w:rPr>
        <w:t xml:space="preserve">. In order to ensure the highest independent level, testing must continue until the first instructional level, or lower, is found. </w:t>
      </w:r>
      <w:r w:rsidR="00D10A3D" w:rsidRPr="00D10A3D">
        <w:rPr>
          <w:rFonts w:ascii="Calibri" w:hAnsi="Calibri" w:cs="Calibri"/>
          <w:color w:val="auto"/>
          <w:sz w:val="22"/>
          <w:szCs w:val="22"/>
          <w:u w:val="single"/>
        </w:rPr>
        <w:t>Studen</w:t>
      </w:r>
      <w:r w:rsidR="00900A32">
        <w:rPr>
          <w:rFonts w:ascii="Calibri" w:hAnsi="Calibri" w:cs="Calibri"/>
          <w:color w:val="auto"/>
          <w:sz w:val="22"/>
          <w:szCs w:val="22"/>
          <w:u w:val="single"/>
        </w:rPr>
        <w:t xml:space="preserve">ts reaching 28 or higher on the </w:t>
      </w:r>
      <w:r w:rsidR="00D10A3D" w:rsidRPr="00D10A3D">
        <w:rPr>
          <w:rFonts w:ascii="Calibri" w:hAnsi="Calibri" w:cs="Calibri"/>
          <w:color w:val="auto"/>
          <w:sz w:val="22"/>
          <w:szCs w:val="22"/>
          <w:u w:val="single"/>
        </w:rPr>
        <w:t>independe</w:t>
      </w:r>
      <w:r w:rsidR="00011127">
        <w:rPr>
          <w:rFonts w:ascii="Calibri" w:hAnsi="Calibri" w:cs="Calibri"/>
          <w:color w:val="auto"/>
          <w:sz w:val="22"/>
          <w:szCs w:val="22"/>
          <w:u w:val="single"/>
        </w:rPr>
        <w:t>nt level must also be assess</w:t>
      </w:r>
      <w:r w:rsidR="00695A59">
        <w:rPr>
          <w:rFonts w:ascii="Calibri" w:hAnsi="Calibri" w:cs="Calibri"/>
          <w:color w:val="auto"/>
          <w:sz w:val="22"/>
          <w:szCs w:val="22"/>
          <w:u w:val="single"/>
        </w:rPr>
        <w:t>ed</w:t>
      </w:r>
      <w:r w:rsidR="00D10A3D" w:rsidRPr="00D10A3D">
        <w:rPr>
          <w:rFonts w:ascii="Calibri" w:hAnsi="Calibri" w:cs="Calibri"/>
          <w:color w:val="auto"/>
          <w:sz w:val="22"/>
          <w:szCs w:val="22"/>
          <w:u w:val="single"/>
        </w:rPr>
        <w:t xml:space="preserve"> with the Written Comprehension component.</w:t>
      </w:r>
      <w:r w:rsidR="00D10A3D">
        <w:rPr>
          <w:rFonts w:ascii="Calibri" w:hAnsi="Calibri" w:cs="Calibri"/>
          <w:color w:val="auto"/>
          <w:sz w:val="22"/>
          <w:szCs w:val="22"/>
        </w:rPr>
        <w:t xml:space="preserve"> This gives validity to the independent reading score.</w:t>
      </w:r>
      <w:r w:rsidR="00011127">
        <w:rPr>
          <w:rFonts w:ascii="Calibri" w:hAnsi="Calibri" w:cs="Calibri"/>
          <w:color w:val="auto"/>
          <w:sz w:val="22"/>
          <w:szCs w:val="22"/>
        </w:rPr>
        <w:t xml:space="preserve"> </w:t>
      </w:r>
      <w:r w:rsidRPr="00410F33">
        <w:rPr>
          <w:rFonts w:ascii="Calibri" w:hAnsi="Calibri" w:cs="Calibri"/>
          <w:color w:val="auto"/>
          <w:sz w:val="22"/>
          <w:szCs w:val="22"/>
        </w:rPr>
        <w:t>Both th</w:t>
      </w:r>
      <w:r w:rsidR="002A2A02" w:rsidRPr="00410F33">
        <w:rPr>
          <w:rFonts w:ascii="Calibri" w:hAnsi="Calibri" w:cs="Calibri"/>
          <w:color w:val="auto"/>
          <w:sz w:val="22"/>
          <w:szCs w:val="22"/>
        </w:rPr>
        <w:t xml:space="preserve">e highest independent level, </w:t>
      </w:r>
      <w:r w:rsidRPr="00410F33">
        <w:rPr>
          <w:rFonts w:ascii="Calibri" w:hAnsi="Calibri" w:cs="Calibri"/>
          <w:color w:val="auto"/>
          <w:sz w:val="22"/>
          <w:szCs w:val="22"/>
        </w:rPr>
        <w:t>the instructional level</w:t>
      </w:r>
      <w:r w:rsidR="00635FEB">
        <w:rPr>
          <w:rFonts w:ascii="Calibri" w:hAnsi="Calibri" w:cs="Calibri"/>
          <w:color w:val="auto"/>
          <w:sz w:val="22"/>
          <w:szCs w:val="22"/>
        </w:rPr>
        <w:t>,</w:t>
      </w:r>
      <w:r w:rsidRPr="00410F33">
        <w:rPr>
          <w:rFonts w:ascii="Calibri" w:hAnsi="Calibri" w:cs="Calibri"/>
          <w:color w:val="auto"/>
          <w:sz w:val="22"/>
          <w:szCs w:val="22"/>
        </w:rPr>
        <w:t xml:space="preserve"> Teacher Observation Guide and Student Booklet must be kept in the student’s literacy folder. </w:t>
      </w:r>
    </w:p>
    <w:p w14:paraId="377888BD" w14:textId="77777777" w:rsidR="002A2A02" w:rsidRPr="00410F33" w:rsidRDefault="002A2A02" w:rsidP="002A2A02">
      <w:pPr>
        <w:pStyle w:val="Default"/>
        <w:rPr>
          <w:rFonts w:ascii="Calibri" w:hAnsi="Calibri" w:cs="Calibri"/>
          <w:color w:val="auto"/>
          <w:sz w:val="22"/>
          <w:szCs w:val="22"/>
        </w:rPr>
      </w:pPr>
    </w:p>
    <w:p w14:paraId="56143E4F" w14:textId="77777777" w:rsidR="002A2A02" w:rsidRPr="00410F33" w:rsidRDefault="00F906F9" w:rsidP="00F906F9">
      <w:pPr>
        <w:pStyle w:val="Default"/>
        <w:numPr>
          <w:ilvl w:val="0"/>
          <w:numId w:val="1"/>
        </w:numPr>
        <w:rPr>
          <w:rFonts w:ascii="Calibri" w:hAnsi="Calibri" w:cs="Calibri"/>
          <w:color w:val="auto"/>
          <w:sz w:val="22"/>
          <w:szCs w:val="22"/>
        </w:rPr>
      </w:pPr>
      <w:r w:rsidRPr="00410F33">
        <w:rPr>
          <w:rFonts w:ascii="Calibri" w:hAnsi="Calibri" w:cs="Calibri"/>
          <w:color w:val="auto"/>
          <w:sz w:val="22"/>
          <w:szCs w:val="22"/>
        </w:rPr>
        <w:t xml:space="preserve">A student’s independent reading level is determined when </w:t>
      </w:r>
      <w:r w:rsidRPr="00410F33">
        <w:rPr>
          <w:rFonts w:ascii="Calibri" w:hAnsi="Calibri" w:cs="Calibri"/>
          <w:b/>
          <w:color w:val="auto"/>
          <w:sz w:val="22"/>
          <w:szCs w:val="22"/>
          <w:u w:val="single"/>
        </w:rPr>
        <w:t>both</w:t>
      </w:r>
      <w:r w:rsidRPr="00410F33">
        <w:rPr>
          <w:rFonts w:ascii="Calibri" w:hAnsi="Calibri" w:cs="Calibri"/>
          <w:color w:val="auto"/>
          <w:sz w:val="22"/>
          <w:szCs w:val="22"/>
        </w:rPr>
        <w:t xml:space="preserve"> the fluency and comprehension scores fall in the independent range on the DRA2 Continuum. </w:t>
      </w:r>
    </w:p>
    <w:p w14:paraId="6710ABD6" w14:textId="77777777" w:rsidR="002A2A02" w:rsidRPr="00410F33" w:rsidRDefault="002A2A02" w:rsidP="002A2A02">
      <w:pPr>
        <w:pStyle w:val="Default"/>
        <w:rPr>
          <w:rFonts w:ascii="Calibri" w:hAnsi="Calibri" w:cs="Calibri"/>
          <w:color w:val="auto"/>
          <w:sz w:val="22"/>
          <w:szCs w:val="22"/>
        </w:rPr>
      </w:pPr>
    </w:p>
    <w:p w14:paraId="27385C77" w14:textId="70FC8B61" w:rsidR="00410F33" w:rsidRPr="00410F33" w:rsidRDefault="00A5392C" w:rsidP="00410F33">
      <w:pPr>
        <w:pStyle w:val="Default"/>
        <w:numPr>
          <w:ilvl w:val="0"/>
          <w:numId w:val="5"/>
        </w:numPr>
        <w:rPr>
          <w:rFonts w:ascii="Calibri" w:hAnsi="Calibri" w:cs="Calibri"/>
          <w:color w:val="auto"/>
          <w:sz w:val="22"/>
          <w:szCs w:val="22"/>
        </w:rPr>
      </w:pPr>
      <w:r>
        <w:rPr>
          <w:rFonts w:ascii="Calibri" w:hAnsi="Calibri" w:cs="Calibri"/>
          <w:color w:val="auto"/>
          <w:sz w:val="22"/>
          <w:szCs w:val="22"/>
        </w:rPr>
        <w:t>The following</w:t>
      </w:r>
      <w:r w:rsidR="00410F33" w:rsidRPr="00410F33">
        <w:rPr>
          <w:rFonts w:ascii="Calibri" w:hAnsi="Calibri" w:cs="Calibri"/>
          <w:color w:val="auto"/>
          <w:sz w:val="22"/>
          <w:szCs w:val="22"/>
        </w:rPr>
        <w:t xml:space="preserve"> data must be entered into Infinite Campus: </w:t>
      </w:r>
    </w:p>
    <w:p w14:paraId="121DBE12" w14:textId="77777777" w:rsidR="006B1284" w:rsidRPr="00410F33" w:rsidRDefault="006B1284" w:rsidP="00410F33">
      <w:pPr>
        <w:pStyle w:val="Default"/>
        <w:numPr>
          <w:ilvl w:val="0"/>
          <w:numId w:val="6"/>
        </w:numPr>
        <w:ind w:left="1440"/>
        <w:rPr>
          <w:rFonts w:ascii="Calibri" w:hAnsi="Calibri" w:cs="Calibri"/>
          <w:color w:val="auto"/>
          <w:sz w:val="22"/>
          <w:szCs w:val="22"/>
        </w:rPr>
      </w:pPr>
      <w:r w:rsidRPr="00410F33">
        <w:rPr>
          <w:rFonts w:ascii="Calibri" w:hAnsi="Calibri" w:cs="Calibri"/>
          <w:color w:val="auto"/>
          <w:sz w:val="22"/>
          <w:szCs w:val="22"/>
        </w:rPr>
        <w:t>T</w:t>
      </w:r>
      <w:r w:rsidR="00F906F9" w:rsidRPr="00410F33">
        <w:rPr>
          <w:rFonts w:ascii="Calibri" w:hAnsi="Calibri" w:cs="Calibri"/>
          <w:color w:val="auto"/>
          <w:sz w:val="22"/>
          <w:szCs w:val="22"/>
        </w:rPr>
        <w:t>he independ</w:t>
      </w:r>
      <w:r w:rsidRPr="00410F33">
        <w:rPr>
          <w:rFonts w:ascii="Calibri" w:hAnsi="Calibri" w:cs="Calibri"/>
          <w:color w:val="auto"/>
          <w:sz w:val="22"/>
          <w:szCs w:val="22"/>
        </w:rPr>
        <w:t>ent DRA2 level</w:t>
      </w:r>
    </w:p>
    <w:p w14:paraId="03E184F2" w14:textId="4EE4DFEE" w:rsidR="00A65DBF" w:rsidRPr="00410F33" w:rsidRDefault="006B1284" w:rsidP="00410F33">
      <w:pPr>
        <w:pStyle w:val="Default"/>
        <w:numPr>
          <w:ilvl w:val="0"/>
          <w:numId w:val="6"/>
        </w:numPr>
        <w:ind w:left="1440"/>
        <w:rPr>
          <w:rFonts w:ascii="Calibri" w:hAnsi="Calibri" w:cs="Calibri"/>
          <w:color w:val="auto"/>
          <w:sz w:val="22"/>
          <w:szCs w:val="22"/>
        </w:rPr>
      </w:pPr>
      <w:r w:rsidRPr="00410F33">
        <w:rPr>
          <w:rFonts w:ascii="Calibri" w:hAnsi="Calibri" w:cs="Calibri"/>
          <w:color w:val="auto"/>
          <w:sz w:val="22"/>
          <w:szCs w:val="22"/>
        </w:rPr>
        <w:t>W</w:t>
      </w:r>
      <w:r w:rsidR="00F906F9" w:rsidRPr="00410F33">
        <w:rPr>
          <w:rFonts w:ascii="Calibri" w:hAnsi="Calibri" w:cs="Calibri"/>
          <w:color w:val="auto"/>
          <w:sz w:val="22"/>
          <w:szCs w:val="22"/>
        </w:rPr>
        <w:t>hether a student received an acc</w:t>
      </w:r>
      <w:r w:rsidR="00415516">
        <w:rPr>
          <w:rFonts w:ascii="Calibri" w:hAnsi="Calibri" w:cs="Calibri"/>
          <w:color w:val="auto"/>
          <w:sz w:val="22"/>
          <w:szCs w:val="22"/>
        </w:rPr>
        <w:t>ommodation during DRA2 testing</w:t>
      </w:r>
    </w:p>
    <w:p w14:paraId="69F93511" w14:textId="202A7BA0" w:rsidR="00F906F9" w:rsidRPr="00410F33" w:rsidRDefault="00F906F9" w:rsidP="00410F33">
      <w:pPr>
        <w:pStyle w:val="Default"/>
        <w:ind w:left="720"/>
        <w:rPr>
          <w:rFonts w:cs="Times New Roman"/>
          <w:color w:val="auto"/>
          <w:sz w:val="22"/>
          <w:szCs w:val="22"/>
        </w:rPr>
      </w:pPr>
    </w:p>
    <w:p w14:paraId="2047F394" w14:textId="0263635A" w:rsidR="00A65DBF" w:rsidRPr="0021239A" w:rsidRDefault="0021239A" w:rsidP="0021239A">
      <w:pPr>
        <w:pStyle w:val="Default"/>
        <w:jc w:val="center"/>
        <w:rPr>
          <w:rFonts w:ascii="Calibri" w:hAnsi="Calibri" w:cs="Calibri"/>
          <w:b/>
          <w:bCs/>
          <w:color w:val="auto"/>
          <w:sz w:val="22"/>
          <w:szCs w:val="22"/>
        </w:rPr>
      </w:pPr>
      <w:r>
        <w:rPr>
          <w:rFonts w:ascii="Calibri" w:hAnsi="Calibri" w:cs="Calibri"/>
          <w:b/>
          <w:color w:val="auto"/>
          <w:sz w:val="22"/>
          <w:szCs w:val="22"/>
        </w:rPr>
        <w:t>The TSD</w:t>
      </w:r>
      <w:r w:rsidR="00A65DBF" w:rsidRPr="0021239A">
        <w:rPr>
          <w:rFonts w:ascii="Calibri" w:hAnsi="Calibri" w:cs="Calibri"/>
          <w:b/>
          <w:color w:val="auto"/>
          <w:sz w:val="22"/>
          <w:szCs w:val="22"/>
        </w:rPr>
        <w:t xml:space="preserve"> DRA2 Proficiency Chart is designed to help clarify the DRA2 level </w:t>
      </w:r>
      <w:r w:rsidR="00900A32" w:rsidRPr="0021239A">
        <w:rPr>
          <w:rFonts w:ascii="Calibri" w:hAnsi="Calibri" w:cs="Calibri"/>
          <w:b/>
          <w:color w:val="auto"/>
          <w:sz w:val="22"/>
          <w:szCs w:val="22"/>
        </w:rPr>
        <w:t>results</w:t>
      </w:r>
      <w:r w:rsidR="00A65DBF" w:rsidRPr="0021239A">
        <w:rPr>
          <w:rFonts w:ascii="Calibri" w:hAnsi="Calibri" w:cs="Calibri"/>
          <w:b/>
          <w:color w:val="auto"/>
          <w:sz w:val="22"/>
          <w:szCs w:val="22"/>
        </w:rPr>
        <w:t xml:space="preserve"> by grade</w:t>
      </w:r>
      <w:r w:rsidR="00410F33" w:rsidRPr="0021239A">
        <w:rPr>
          <w:rFonts w:ascii="Calibri" w:hAnsi="Calibri" w:cs="Calibri"/>
          <w:b/>
          <w:color w:val="auto"/>
          <w:sz w:val="22"/>
          <w:szCs w:val="22"/>
        </w:rPr>
        <w:t>.</w:t>
      </w:r>
    </w:p>
    <w:p w14:paraId="03583954" w14:textId="77777777" w:rsidR="00A65DBF" w:rsidRPr="00410F33" w:rsidRDefault="00A65DBF" w:rsidP="00A65DBF">
      <w:pPr>
        <w:pStyle w:val="Default"/>
        <w:rPr>
          <w:rFonts w:ascii="Calibri" w:hAnsi="Calibri" w:cs="Calibri"/>
          <w:color w:val="auto"/>
          <w:sz w:val="22"/>
          <w:szCs w:val="22"/>
        </w:rPr>
      </w:pPr>
    </w:p>
    <w:tbl>
      <w:tblPr>
        <w:tblStyle w:val="TableGrid"/>
        <w:tblW w:w="10350" w:type="dxa"/>
        <w:tblInd w:w="-612" w:type="dxa"/>
        <w:tblLayout w:type="fixed"/>
        <w:tblLook w:val="04A0" w:firstRow="1" w:lastRow="0" w:firstColumn="1" w:lastColumn="0" w:noHBand="0" w:noVBand="1"/>
      </w:tblPr>
      <w:tblGrid>
        <w:gridCol w:w="540"/>
        <w:gridCol w:w="1170"/>
        <w:gridCol w:w="900"/>
        <w:gridCol w:w="1200"/>
        <w:gridCol w:w="1140"/>
        <w:gridCol w:w="1007"/>
        <w:gridCol w:w="1123"/>
        <w:gridCol w:w="1110"/>
        <w:gridCol w:w="990"/>
        <w:gridCol w:w="1170"/>
      </w:tblGrid>
      <w:tr w:rsidR="006109CF" w:rsidRPr="00410F33" w14:paraId="08BE7607" w14:textId="77777777" w:rsidTr="00900A32">
        <w:trPr>
          <w:trHeight w:val="845"/>
        </w:trPr>
        <w:tc>
          <w:tcPr>
            <w:tcW w:w="540" w:type="dxa"/>
          </w:tcPr>
          <w:p w14:paraId="6A9C06B5" w14:textId="77777777" w:rsidR="006109CF" w:rsidRPr="00410F33" w:rsidRDefault="006109CF" w:rsidP="00DD6D68">
            <w:pPr>
              <w:rPr>
                <w:rFonts w:asciiTheme="majorHAnsi" w:hAnsiTheme="majorHAnsi"/>
                <w:sz w:val="22"/>
                <w:szCs w:val="22"/>
              </w:rPr>
            </w:pPr>
          </w:p>
        </w:tc>
        <w:tc>
          <w:tcPr>
            <w:tcW w:w="3270" w:type="dxa"/>
            <w:gridSpan w:val="3"/>
          </w:tcPr>
          <w:p w14:paraId="4967E30B" w14:textId="7DB2DB5A" w:rsidR="006109CF" w:rsidRPr="00410F33" w:rsidRDefault="006109CF" w:rsidP="00900A32">
            <w:pPr>
              <w:jc w:val="center"/>
              <w:rPr>
                <w:rFonts w:asciiTheme="majorHAnsi" w:hAnsiTheme="majorHAnsi"/>
                <w:sz w:val="22"/>
                <w:szCs w:val="22"/>
              </w:rPr>
            </w:pPr>
            <w:r w:rsidRPr="00410F33">
              <w:rPr>
                <w:rFonts w:asciiTheme="majorHAnsi" w:hAnsiTheme="majorHAnsi"/>
                <w:sz w:val="22"/>
                <w:szCs w:val="22"/>
              </w:rPr>
              <w:t>DRA2 Reading Grade Level Proficiencies</w:t>
            </w:r>
          </w:p>
          <w:p w14:paraId="46BE5512" w14:textId="57154286" w:rsidR="006109CF" w:rsidRPr="00900A32" w:rsidRDefault="000273C2" w:rsidP="00900A32">
            <w:pPr>
              <w:jc w:val="center"/>
              <w:rPr>
                <w:rFonts w:asciiTheme="majorHAnsi" w:hAnsiTheme="majorHAnsi"/>
                <w:b/>
                <w:sz w:val="22"/>
                <w:szCs w:val="22"/>
              </w:rPr>
            </w:pPr>
            <w:r w:rsidRPr="00900A32">
              <w:rPr>
                <w:rFonts w:asciiTheme="majorHAnsi" w:hAnsiTheme="majorHAnsi"/>
                <w:b/>
                <w:sz w:val="28"/>
                <w:szCs w:val="22"/>
              </w:rPr>
              <w:t>FALL</w:t>
            </w:r>
          </w:p>
        </w:tc>
        <w:tc>
          <w:tcPr>
            <w:tcW w:w="3270" w:type="dxa"/>
            <w:gridSpan w:val="3"/>
            <w:shd w:val="clear" w:color="auto" w:fill="D9D9D9"/>
          </w:tcPr>
          <w:p w14:paraId="7D2DD1AC" w14:textId="5196102B" w:rsidR="006109CF" w:rsidRPr="00410F33" w:rsidRDefault="006109CF" w:rsidP="00900A32">
            <w:pPr>
              <w:jc w:val="center"/>
              <w:rPr>
                <w:rFonts w:asciiTheme="majorHAnsi" w:hAnsiTheme="majorHAnsi"/>
                <w:sz w:val="22"/>
                <w:szCs w:val="22"/>
              </w:rPr>
            </w:pPr>
            <w:r w:rsidRPr="00410F33">
              <w:rPr>
                <w:rFonts w:asciiTheme="majorHAnsi" w:hAnsiTheme="majorHAnsi"/>
                <w:sz w:val="22"/>
                <w:szCs w:val="22"/>
              </w:rPr>
              <w:t>Reading Level Goal Approximations</w:t>
            </w:r>
          </w:p>
          <w:p w14:paraId="5D3B53C0" w14:textId="2664A24B" w:rsidR="006109CF" w:rsidRPr="00410F33" w:rsidRDefault="00900A32" w:rsidP="00900A32">
            <w:pPr>
              <w:jc w:val="center"/>
              <w:rPr>
                <w:rFonts w:asciiTheme="majorHAnsi" w:hAnsiTheme="majorHAnsi"/>
                <w:sz w:val="22"/>
                <w:szCs w:val="22"/>
              </w:rPr>
            </w:pPr>
            <w:r>
              <w:rPr>
                <w:rFonts w:asciiTheme="majorHAnsi" w:hAnsiTheme="majorHAnsi"/>
                <w:sz w:val="22"/>
                <w:szCs w:val="22"/>
              </w:rPr>
              <w:t>Mid-Year Estimation</w:t>
            </w:r>
          </w:p>
        </w:tc>
        <w:tc>
          <w:tcPr>
            <w:tcW w:w="3270" w:type="dxa"/>
            <w:gridSpan w:val="3"/>
          </w:tcPr>
          <w:p w14:paraId="13A06191" w14:textId="04F720DC" w:rsidR="006109CF" w:rsidRPr="00410F33" w:rsidRDefault="006109CF" w:rsidP="00900A32">
            <w:pPr>
              <w:jc w:val="center"/>
              <w:rPr>
                <w:rFonts w:asciiTheme="majorHAnsi" w:hAnsiTheme="majorHAnsi"/>
                <w:sz w:val="22"/>
                <w:szCs w:val="22"/>
              </w:rPr>
            </w:pPr>
            <w:r w:rsidRPr="00410F33">
              <w:rPr>
                <w:rFonts w:asciiTheme="majorHAnsi" w:hAnsiTheme="majorHAnsi"/>
                <w:sz w:val="22"/>
                <w:szCs w:val="22"/>
              </w:rPr>
              <w:t>DRA2 Reading Grade Level Proficiencies</w:t>
            </w:r>
          </w:p>
          <w:p w14:paraId="419192ED" w14:textId="105BA20E" w:rsidR="006109CF" w:rsidRPr="00900A32" w:rsidRDefault="000273C2" w:rsidP="00900A32">
            <w:pPr>
              <w:jc w:val="center"/>
              <w:rPr>
                <w:rFonts w:asciiTheme="majorHAnsi" w:hAnsiTheme="majorHAnsi"/>
                <w:b/>
                <w:sz w:val="22"/>
                <w:szCs w:val="22"/>
              </w:rPr>
            </w:pPr>
            <w:r w:rsidRPr="00900A32">
              <w:rPr>
                <w:rFonts w:asciiTheme="majorHAnsi" w:hAnsiTheme="majorHAnsi"/>
                <w:b/>
                <w:sz w:val="28"/>
                <w:szCs w:val="22"/>
              </w:rPr>
              <w:t>SPRING</w:t>
            </w:r>
          </w:p>
        </w:tc>
      </w:tr>
      <w:tr w:rsidR="00253B36" w:rsidRPr="00410F33" w14:paraId="47183FD7" w14:textId="65C4CEAC" w:rsidTr="00E50D0A">
        <w:tc>
          <w:tcPr>
            <w:tcW w:w="540" w:type="dxa"/>
            <w:tcBorders>
              <w:bottom w:val="single" w:sz="18" w:space="0" w:color="auto"/>
            </w:tcBorders>
            <w:vAlign w:val="bottom"/>
          </w:tcPr>
          <w:p w14:paraId="75361901" w14:textId="77777777" w:rsidR="00253B36" w:rsidRPr="00410F33" w:rsidRDefault="00253B36" w:rsidP="00DD6D68">
            <w:pPr>
              <w:jc w:val="center"/>
              <w:rPr>
                <w:sz w:val="22"/>
                <w:szCs w:val="22"/>
              </w:rPr>
            </w:pPr>
          </w:p>
        </w:tc>
        <w:tc>
          <w:tcPr>
            <w:tcW w:w="1170" w:type="dxa"/>
            <w:tcBorders>
              <w:bottom w:val="single" w:sz="18" w:space="0" w:color="auto"/>
            </w:tcBorders>
            <w:vAlign w:val="center"/>
          </w:tcPr>
          <w:p w14:paraId="376A3EB7" w14:textId="71B5CE29" w:rsidR="00253B36" w:rsidRPr="0021239A" w:rsidRDefault="00BB74CB" w:rsidP="00DD6D68">
            <w:pPr>
              <w:jc w:val="center"/>
              <w:rPr>
                <w:sz w:val="16"/>
                <w:szCs w:val="18"/>
              </w:rPr>
            </w:pPr>
            <w:r w:rsidRPr="0021239A">
              <w:rPr>
                <w:sz w:val="16"/>
                <w:szCs w:val="18"/>
              </w:rPr>
              <w:t>Success</w:t>
            </w:r>
            <w:r w:rsidR="00253B36" w:rsidRPr="0021239A">
              <w:rPr>
                <w:sz w:val="16"/>
                <w:szCs w:val="18"/>
              </w:rPr>
              <w:t xml:space="preserve"> </w:t>
            </w:r>
            <w:r w:rsidR="00E50D0A">
              <w:rPr>
                <w:sz w:val="16"/>
                <w:szCs w:val="18"/>
              </w:rPr>
              <w:br/>
            </w:r>
            <w:r w:rsidR="00253B36" w:rsidRPr="0021239A">
              <w:rPr>
                <w:sz w:val="16"/>
                <w:szCs w:val="18"/>
              </w:rPr>
              <w:t>Level</w:t>
            </w:r>
          </w:p>
        </w:tc>
        <w:tc>
          <w:tcPr>
            <w:tcW w:w="900" w:type="dxa"/>
            <w:tcBorders>
              <w:bottom w:val="single" w:sz="18" w:space="0" w:color="auto"/>
            </w:tcBorders>
            <w:vAlign w:val="center"/>
          </w:tcPr>
          <w:p w14:paraId="37F01CA1" w14:textId="2E83B12B" w:rsidR="00253B36" w:rsidRPr="0021239A" w:rsidRDefault="00253B36" w:rsidP="00DD6D68">
            <w:pPr>
              <w:jc w:val="center"/>
              <w:rPr>
                <w:sz w:val="16"/>
                <w:szCs w:val="22"/>
              </w:rPr>
            </w:pPr>
            <w:r w:rsidRPr="0021239A">
              <w:rPr>
                <w:sz w:val="16"/>
                <w:szCs w:val="22"/>
              </w:rPr>
              <w:t>DRA2</w:t>
            </w:r>
          </w:p>
        </w:tc>
        <w:tc>
          <w:tcPr>
            <w:tcW w:w="1200" w:type="dxa"/>
            <w:tcBorders>
              <w:bottom w:val="single" w:sz="18" w:space="0" w:color="auto"/>
            </w:tcBorders>
            <w:vAlign w:val="center"/>
          </w:tcPr>
          <w:p w14:paraId="466ECBC5" w14:textId="0D3094F1" w:rsidR="00253B36" w:rsidRPr="0021239A" w:rsidRDefault="00253B36" w:rsidP="00DD6D68">
            <w:pPr>
              <w:jc w:val="center"/>
              <w:rPr>
                <w:sz w:val="16"/>
                <w:szCs w:val="22"/>
              </w:rPr>
            </w:pPr>
            <w:r w:rsidRPr="0021239A">
              <w:rPr>
                <w:sz w:val="16"/>
                <w:szCs w:val="22"/>
              </w:rPr>
              <w:t>Fountas &amp; Pinnell Level Correlation</w:t>
            </w:r>
          </w:p>
        </w:tc>
        <w:tc>
          <w:tcPr>
            <w:tcW w:w="1140" w:type="dxa"/>
            <w:tcBorders>
              <w:bottom w:val="single" w:sz="18" w:space="0" w:color="auto"/>
            </w:tcBorders>
            <w:shd w:val="clear" w:color="auto" w:fill="D9D9D9"/>
            <w:vAlign w:val="center"/>
          </w:tcPr>
          <w:p w14:paraId="01F4B5FF" w14:textId="544B700C" w:rsidR="00253B36" w:rsidRPr="0021239A" w:rsidRDefault="00BB74CB" w:rsidP="003E5A3C">
            <w:pPr>
              <w:jc w:val="center"/>
              <w:rPr>
                <w:sz w:val="16"/>
                <w:szCs w:val="22"/>
              </w:rPr>
            </w:pPr>
            <w:r w:rsidRPr="0021239A">
              <w:rPr>
                <w:sz w:val="16"/>
                <w:szCs w:val="18"/>
              </w:rPr>
              <w:t>Success Level</w:t>
            </w:r>
          </w:p>
        </w:tc>
        <w:tc>
          <w:tcPr>
            <w:tcW w:w="1007" w:type="dxa"/>
            <w:tcBorders>
              <w:bottom w:val="single" w:sz="18" w:space="0" w:color="auto"/>
            </w:tcBorders>
            <w:shd w:val="clear" w:color="auto" w:fill="D9D9D9"/>
            <w:vAlign w:val="center"/>
          </w:tcPr>
          <w:p w14:paraId="162810BB" w14:textId="72A8907E" w:rsidR="00253B36" w:rsidRPr="0021239A" w:rsidRDefault="00253B36" w:rsidP="00DD6D68">
            <w:pPr>
              <w:jc w:val="center"/>
              <w:rPr>
                <w:sz w:val="16"/>
                <w:szCs w:val="22"/>
              </w:rPr>
            </w:pPr>
            <w:r w:rsidRPr="0021239A">
              <w:rPr>
                <w:sz w:val="16"/>
                <w:szCs w:val="22"/>
              </w:rPr>
              <w:t>DRA2</w:t>
            </w:r>
          </w:p>
        </w:tc>
        <w:tc>
          <w:tcPr>
            <w:tcW w:w="1123" w:type="dxa"/>
            <w:tcBorders>
              <w:bottom w:val="single" w:sz="18" w:space="0" w:color="auto"/>
            </w:tcBorders>
            <w:shd w:val="clear" w:color="auto" w:fill="D9D9D9"/>
            <w:vAlign w:val="center"/>
          </w:tcPr>
          <w:p w14:paraId="3644EC65" w14:textId="47BC1AF9" w:rsidR="00253B36" w:rsidRPr="0021239A" w:rsidRDefault="00253B36" w:rsidP="00DD6D68">
            <w:pPr>
              <w:jc w:val="center"/>
              <w:rPr>
                <w:sz w:val="16"/>
                <w:szCs w:val="22"/>
              </w:rPr>
            </w:pPr>
            <w:r w:rsidRPr="0021239A">
              <w:rPr>
                <w:sz w:val="16"/>
                <w:szCs w:val="22"/>
              </w:rPr>
              <w:t>Fountas &amp; Pinnell Level Correlation</w:t>
            </w:r>
          </w:p>
        </w:tc>
        <w:tc>
          <w:tcPr>
            <w:tcW w:w="1110" w:type="dxa"/>
            <w:tcBorders>
              <w:bottom w:val="single" w:sz="18" w:space="0" w:color="auto"/>
            </w:tcBorders>
            <w:vAlign w:val="center"/>
          </w:tcPr>
          <w:p w14:paraId="23F69E01" w14:textId="0C7CF9A2" w:rsidR="00253B36" w:rsidRPr="0021239A" w:rsidRDefault="00BB74CB" w:rsidP="00DD6D68">
            <w:pPr>
              <w:jc w:val="center"/>
              <w:rPr>
                <w:sz w:val="16"/>
                <w:szCs w:val="22"/>
              </w:rPr>
            </w:pPr>
            <w:r w:rsidRPr="0021239A">
              <w:rPr>
                <w:sz w:val="16"/>
                <w:szCs w:val="18"/>
              </w:rPr>
              <w:t>Success Level</w:t>
            </w:r>
          </w:p>
        </w:tc>
        <w:tc>
          <w:tcPr>
            <w:tcW w:w="990" w:type="dxa"/>
            <w:tcBorders>
              <w:bottom w:val="single" w:sz="18" w:space="0" w:color="auto"/>
            </w:tcBorders>
            <w:vAlign w:val="center"/>
          </w:tcPr>
          <w:p w14:paraId="487F1DA5" w14:textId="2ACE9A3E" w:rsidR="00253B36" w:rsidRPr="0021239A" w:rsidRDefault="00253B36" w:rsidP="00DD6D68">
            <w:pPr>
              <w:jc w:val="center"/>
              <w:rPr>
                <w:sz w:val="16"/>
                <w:szCs w:val="22"/>
              </w:rPr>
            </w:pPr>
            <w:r w:rsidRPr="0021239A">
              <w:rPr>
                <w:sz w:val="16"/>
                <w:szCs w:val="22"/>
              </w:rPr>
              <w:t>DRA2</w:t>
            </w:r>
          </w:p>
        </w:tc>
        <w:tc>
          <w:tcPr>
            <w:tcW w:w="1170" w:type="dxa"/>
            <w:tcBorders>
              <w:bottom w:val="single" w:sz="18" w:space="0" w:color="auto"/>
            </w:tcBorders>
            <w:vAlign w:val="center"/>
          </w:tcPr>
          <w:p w14:paraId="4A399BB6" w14:textId="53000D85" w:rsidR="00253B36" w:rsidRPr="0021239A" w:rsidRDefault="00253B36" w:rsidP="00DD6D68">
            <w:pPr>
              <w:jc w:val="center"/>
              <w:rPr>
                <w:sz w:val="16"/>
                <w:szCs w:val="22"/>
              </w:rPr>
            </w:pPr>
            <w:r w:rsidRPr="0021239A">
              <w:rPr>
                <w:sz w:val="16"/>
                <w:szCs w:val="22"/>
              </w:rPr>
              <w:t>Fountas &amp; Pinnell Level Correlation</w:t>
            </w:r>
          </w:p>
        </w:tc>
      </w:tr>
      <w:tr w:rsidR="00B066A5" w:rsidRPr="00410F33" w14:paraId="6BB53954" w14:textId="6631DE28" w:rsidTr="00E50D0A">
        <w:tc>
          <w:tcPr>
            <w:tcW w:w="540" w:type="dxa"/>
            <w:vMerge w:val="restart"/>
            <w:tcBorders>
              <w:top w:val="single" w:sz="18" w:space="0" w:color="auto"/>
            </w:tcBorders>
            <w:vAlign w:val="center"/>
          </w:tcPr>
          <w:p w14:paraId="085603C9" w14:textId="2BDF37FD" w:rsidR="00B066A5" w:rsidRPr="00253B36" w:rsidRDefault="00B066A5" w:rsidP="00253B36">
            <w:pPr>
              <w:jc w:val="center"/>
              <w:rPr>
                <w:b/>
                <w:sz w:val="22"/>
                <w:szCs w:val="22"/>
              </w:rPr>
            </w:pPr>
            <w:r w:rsidRPr="00253B36">
              <w:rPr>
                <w:b/>
                <w:sz w:val="22"/>
                <w:szCs w:val="22"/>
              </w:rPr>
              <w:t>K</w:t>
            </w:r>
          </w:p>
        </w:tc>
        <w:tc>
          <w:tcPr>
            <w:tcW w:w="1170" w:type="dxa"/>
            <w:tcBorders>
              <w:top w:val="single" w:sz="18" w:space="0" w:color="auto"/>
            </w:tcBorders>
            <w:vAlign w:val="center"/>
          </w:tcPr>
          <w:p w14:paraId="66DBDFFA" w14:textId="74E2DC20" w:rsidR="00B066A5" w:rsidRPr="00B066A5" w:rsidRDefault="00B066A5" w:rsidP="00DD6D68">
            <w:pPr>
              <w:jc w:val="center"/>
              <w:rPr>
                <w:sz w:val="16"/>
                <w:szCs w:val="16"/>
              </w:rPr>
            </w:pPr>
            <w:r w:rsidRPr="00B066A5">
              <w:rPr>
                <w:sz w:val="16"/>
                <w:szCs w:val="16"/>
              </w:rPr>
              <w:t>Substantially Deficient</w:t>
            </w:r>
          </w:p>
        </w:tc>
        <w:tc>
          <w:tcPr>
            <w:tcW w:w="900" w:type="dxa"/>
            <w:tcBorders>
              <w:top w:val="single" w:sz="18" w:space="0" w:color="auto"/>
            </w:tcBorders>
            <w:vAlign w:val="center"/>
          </w:tcPr>
          <w:p w14:paraId="498A6653" w14:textId="188A1637" w:rsidR="00B066A5" w:rsidRPr="00975A29" w:rsidRDefault="00BF4224" w:rsidP="00DD6D68">
            <w:pPr>
              <w:jc w:val="center"/>
              <w:rPr>
                <w:sz w:val="18"/>
                <w:szCs w:val="18"/>
              </w:rPr>
            </w:pPr>
            <w:r>
              <w:rPr>
                <w:rFonts w:ascii="Cambria" w:hAnsi="Cambria"/>
                <w:sz w:val="18"/>
                <w:szCs w:val="18"/>
              </w:rPr>
              <w:t>&lt;</w:t>
            </w:r>
            <w:r w:rsidR="00D51BA2" w:rsidRPr="00975A29">
              <w:rPr>
                <w:rFonts w:ascii="Cambria" w:hAnsi="Cambria"/>
                <w:sz w:val="18"/>
                <w:szCs w:val="18"/>
              </w:rPr>
              <w:t xml:space="preserve"> </w:t>
            </w:r>
            <w:r w:rsidR="00D51BA2">
              <w:rPr>
                <w:rFonts w:ascii="Cambria" w:hAnsi="Cambria"/>
                <w:sz w:val="18"/>
                <w:szCs w:val="18"/>
              </w:rPr>
              <w:t>A</w:t>
            </w:r>
          </w:p>
        </w:tc>
        <w:tc>
          <w:tcPr>
            <w:tcW w:w="1200" w:type="dxa"/>
            <w:tcBorders>
              <w:top w:val="single" w:sz="18" w:space="0" w:color="auto"/>
            </w:tcBorders>
            <w:vAlign w:val="center"/>
          </w:tcPr>
          <w:p w14:paraId="0D270A1D" w14:textId="2D6E5595" w:rsidR="00B066A5" w:rsidRPr="00975A29" w:rsidRDefault="00BF4224" w:rsidP="00DD6D68">
            <w:pPr>
              <w:jc w:val="center"/>
              <w:rPr>
                <w:sz w:val="18"/>
                <w:szCs w:val="18"/>
              </w:rPr>
            </w:pPr>
            <w:r>
              <w:rPr>
                <w:rFonts w:ascii="Cambria" w:hAnsi="Cambria"/>
                <w:sz w:val="18"/>
                <w:szCs w:val="18"/>
              </w:rPr>
              <w:t>-</w:t>
            </w:r>
          </w:p>
        </w:tc>
        <w:tc>
          <w:tcPr>
            <w:tcW w:w="1140" w:type="dxa"/>
            <w:tcBorders>
              <w:top w:val="single" w:sz="18" w:space="0" w:color="auto"/>
            </w:tcBorders>
            <w:shd w:val="clear" w:color="auto" w:fill="D9D9D9"/>
            <w:vAlign w:val="center"/>
          </w:tcPr>
          <w:p w14:paraId="1C2C6F3C" w14:textId="5AC86A19" w:rsidR="00B066A5" w:rsidRPr="00975A29" w:rsidRDefault="00B066A5"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4BF5CA69" w14:textId="42166336" w:rsidR="00B066A5" w:rsidRPr="00975A29" w:rsidRDefault="00D51BA2" w:rsidP="00DD6D68">
            <w:pPr>
              <w:jc w:val="center"/>
              <w:rPr>
                <w:sz w:val="18"/>
                <w:szCs w:val="18"/>
              </w:rPr>
            </w:pPr>
            <w:r w:rsidRPr="00975A29">
              <w:rPr>
                <w:rFonts w:ascii="Cambria" w:hAnsi="Cambria"/>
                <w:sz w:val="18"/>
                <w:szCs w:val="18"/>
              </w:rPr>
              <w:t xml:space="preserve">≤ </w:t>
            </w:r>
            <w:r>
              <w:rPr>
                <w:rFonts w:ascii="Cambria" w:hAnsi="Cambria"/>
                <w:sz w:val="18"/>
                <w:szCs w:val="18"/>
              </w:rPr>
              <w:t>A</w:t>
            </w:r>
          </w:p>
        </w:tc>
        <w:tc>
          <w:tcPr>
            <w:tcW w:w="1123" w:type="dxa"/>
            <w:tcBorders>
              <w:top w:val="single" w:sz="18" w:space="0" w:color="auto"/>
            </w:tcBorders>
            <w:shd w:val="clear" w:color="auto" w:fill="D9D9D9"/>
            <w:vAlign w:val="center"/>
          </w:tcPr>
          <w:p w14:paraId="269EEAB6" w14:textId="268B274F" w:rsidR="00B066A5" w:rsidRPr="00975A29" w:rsidRDefault="00FC68B1" w:rsidP="00DD6D68">
            <w:pPr>
              <w:jc w:val="center"/>
              <w:rPr>
                <w:sz w:val="18"/>
                <w:szCs w:val="18"/>
              </w:rPr>
            </w:pPr>
            <w:r>
              <w:rPr>
                <w:rFonts w:ascii="Cambria" w:hAnsi="Cambria"/>
                <w:sz w:val="18"/>
                <w:szCs w:val="18"/>
              </w:rPr>
              <w:t>A</w:t>
            </w:r>
          </w:p>
        </w:tc>
        <w:tc>
          <w:tcPr>
            <w:tcW w:w="1110" w:type="dxa"/>
            <w:tcBorders>
              <w:top w:val="single" w:sz="18" w:space="0" w:color="auto"/>
            </w:tcBorders>
            <w:vAlign w:val="center"/>
          </w:tcPr>
          <w:p w14:paraId="6FB41C79" w14:textId="1E40ED88" w:rsidR="00B066A5" w:rsidRPr="00975A29" w:rsidRDefault="00B066A5"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501A12CA" w14:textId="012C81E1" w:rsidR="00B066A5" w:rsidRPr="00975A29" w:rsidRDefault="00B066A5" w:rsidP="00DD6D68">
            <w:pPr>
              <w:jc w:val="center"/>
              <w:rPr>
                <w:sz w:val="18"/>
                <w:szCs w:val="18"/>
              </w:rPr>
            </w:pPr>
            <w:r w:rsidRPr="00975A29">
              <w:rPr>
                <w:rFonts w:ascii="Cambria" w:hAnsi="Cambria"/>
                <w:sz w:val="18"/>
                <w:szCs w:val="18"/>
              </w:rPr>
              <w:t xml:space="preserve">≤ </w:t>
            </w:r>
            <w:r>
              <w:rPr>
                <w:rFonts w:ascii="Cambria" w:hAnsi="Cambria"/>
                <w:sz w:val="18"/>
                <w:szCs w:val="18"/>
              </w:rPr>
              <w:t>A</w:t>
            </w:r>
          </w:p>
        </w:tc>
        <w:tc>
          <w:tcPr>
            <w:tcW w:w="1170" w:type="dxa"/>
            <w:tcBorders>
              <w:top w:val="single" w:sz="18" w:space="0" w:color="auto"/>
            </w:tcBorders>
            <w:vAlign w:val="center"/>
          </w:tcPr>
          <w:p w14:paraId="22249381" w14:textId="31F05537" w:rsidR="00B066A5" w:rsidRPr="00975A29" w:rsidRDefault="00FC68B1" w:rsidP="00DD6D68">
            <w:pPr>
              <w:jc w:val="center"/>
              <w:rPr>
                <w:sz w:val="18"/>
                <w:szCs w:val="18"/>
              </w:rPr>
            </w:pPr>
            <w:r>
              <w:rPr>
                <w:rFonts w:ascii="Cambria" w:hAnsi="Cambria"/>
                <w:sz w:val="18"/>
                <w:szCs w:val="18"/>
              </w:rPr>
              <w:t>A</w:t>
            </w:r>
          </w:p>
        </w:tc>
      </w:tr>
      <w:tr w:rsidR="00B066A5" w:rsidRPr="00410F33" w14:paraId="2D59EC8B" w14:textId="7870D475" w:rsidTr="00E50D0A">
        <w:tc>
          <w:tcPr>
            <w:tcW w:w="540" w:type="dxa"/>
            <w:vMerge/>
            <w:vAlign w:val="bottom"/>
          </w:tcPr>
          <w:p w14:paraId="22653099" w14:textId="77777777" w:rsidR="00B066A5" w:rsidRPr="00253B36" w:rsidRDefault="00B066A5" w:rsidP="00DD6D68">
            <w:pPr>
              <w:jc w:val="center"/>
              <w:rPr>
                <w:b/>
                <w:sz w:val="22"/>
                <w:szCs w:val="22"/>
              </w:rPr>
            </w:pPr>
          </w:p>
        </w:tc>
        <w:tc>
          <w:tcPr>
            <w:tcW w:w="1170" w:type="dxa"/>
            <w:vAlign w:val="center"/>
          </w:tcPr>
          <w:p w14:paraId="1F061269" w14:textId="3D56F5CC" w:rsidR="00B066A5" w:rsidRPr="00B066A5" w:rsidRDefault="00B066A5" w:rsidP="00DD6D68">
            <w:pPr>
              <w:jc w:val="center"/>
              <w:rPr>
                <w:sz w:val="16"/>
                <w:szCs w:val="16"/>
              </w:rPr>
            </w:pPr>
            <w:r w:rsidRPr="00B066A5">
              <w:rPr>
                <w:sz w:val="16"/>
                <w:szCs w:val="16"/>
              </w:rPr>
              <w:t>Partially Proficient</w:t>
            </w:r>
          </w:p>
        </w:tc>
        <w:tc>
          <w:tcPr>
            <w:tcW w:w="900" w:type="dxa"/>
            <w:vAlign w:val="center"/>
          </w:tcPr>
          <w:p w14:paraId="0BB8D60D" w14:textId="65AFA6E0" w:rsidR="00B066A5" w:rsidRPr="00775B19" w:rsidRDefault="00B066A5" w:rsidP="00D51BA2">
            <w:pPr>
              <w:jc w:val="center"/>
              <w:rPr>
                <w:sz w:val="18"/>
                <w:szCs w:val="18"/>
              </w:rPr>
            </w:pPr>
            <w:r w:rsidRPr="00775B19">
              <w:rPr>
                <w:rFonts w:ascii="Cambria" w:hAnsi="Cambria"/>
                <w:sz w:val="18"/>
                <w:szCs w:val="18"/>
              </w:rPr>
              <w:t xml:space="preserve"> </w:t>
            </w:r>
            <w:r w:rsidR="00D51BA2" w:rsidRPr="00775B19">
              <w:rPr>
                <w:rFonts w:ascii="Cambria" w:hAnsi="Cambria"/>
                <w:sz w:val="18"/>
                <w:szCs w:val="18"/>
              </w:rPr>
              <w:t>1</w:t>
            </w:r>
          </w:p>
        </w:tc>
        <w:tc>
          <w:tcPr>
            <w:tcW w:w="1200" w:type="dxa"/>
            <w:vAlign w:val="center"/>
          </w:tcPr>
          <w:p w14:paraId="4485D612" w14:textId="40170473" w:rsidR="00B066A5" w:rsidRPr="00775B19" w:rsidRDefault="00D51BA2" w:rsidP="00DD6D68">
            <w:pPr>
              <w:jc w:val="center"/>
              <w:rPr>
                <w:sz w:val="18"/>
                <w:szCs w:val="18"/>
              </w:rPr>
            </w:pPr>
            <w:r w:rsidRPr="00775B19">
              <w:rPr>
                <w:sz w:val="18"/>
                <w:szCs w:val="18"/>
              </w:rPr>
              <w:t>A</w:t>
            </w:r>
          </w:p>
        </w:tc>
        <w:tc>
          <w:tcPr>
            <w:tcW w:w="1140" w:type="dxa"/>
            <w:shd w:val="clear" w:color="auto" w:fill="D9D9D9"/>
            <w:vAlign w:val="center"/>
          </w:tcPr>
          <w:p w14:paraId="46FCFBCB" w14:textId="3B9F6348" w:rsidR="00B066A5" w:rsidRPr="00975A29"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6276833D" w14:textId="4012AEAC" w:rsidR="00B066A5" w:rsidRPr="00975A29" w:rsidRDefault="00C41FED" w:rsidP="00DD6D68">
            <w:pPr>
              <w:jc w:val="center"/>
              <w:rPr>
                <w:sz w:val="18"/>
                <w:szCs w:val="18"/>
              </w:rPr>
            </w:pPr>
            <w:r>
              <w:rPr>
                <w:sz w:val="18"/>
                <w:szCs w:val="18"/>
              </w:rPr>
              <w:t>1</w:t>
            </w:r>
          </w:p>
        </w:tc>
        <w:tc>
          <w:tcPr>
            <w:tcW w:w="1123" w:type="dxa"/>
            <w:shd w:val="clear" w:color="auto" w:fill="D9D9D9"/>
            <w:vAlign w:val="center"/>
          </w:tcPr>
          <w:p w14:paraId="288EBC89" w14:textId="2E5E8243" w:rsidR="00B066A5" w:rsidRPr="00975A29" w:rsidRDefault="00B066A5" w:rsidP="00DD6D68">
            <w:pPr>
              <w:jc w:val="center"/>
              <w:rPr>
                <w:sz w:val="18"/>
                <w:szCs w:val="18"/>
              </w:rPr>
            </w:pPr>
            <w:r w:rsidRPr="00975A29">
              <w:rPr>
                <w:sz w:val="18"/>
                <w:szCs w:val="18"/>
              </w:rPr>
              <w:t>A</w:t>
            </w:r>
          </w:p>
        </w:tc>
        <w:tc>
          <w:tcPr>
            <w:tcW w:w="1110" w:type="dxa"/>
            <w:vAlign w:val="center"/>
          </w:tcPr>
          <w:p w14:paraId="725476AE" w14:textId="64B04B28" w:rsidR="00B066A5" w:rsidRPr="00975A29" w:rsidRDefault="00B066A5" w:rsidP="00DD6D68">
            <w:pPr>
              <w:jc w:val="center"/>
              <w:rPr>
                <w:sz w:val="18"/>
                <w:szCs w:val="18"/>
              </w:rPr>
            </w:pPr>
            <w:r w:rsidRPr="00B066A5">
              <w:rPr>
                <w:sz w:val="16"/>
                <w:szCs w:val="16"/>
              </w:rPr>
              <w:t>Partially Proficient</w:t>
            </w:r>
          </w:p>
        </w:tc>
        <w:tc>
          <w:tcPr>
            <w:tcW w:w="990" w:type="dxa"/>
            <w:vAlign w:val="center"/>
          </w:tcPr>
          <w:p w14:paraId="12365B5D" w14:textId="6FACB73E" w:rsidR="00B066A5" w:rsidRPr="00975A29" w:rsidRDefault="00B066A5" w:rsidP="00DD6D68">
            <w:pPr>
              <w:jc w:val="center"/>
              <w:rPr>
                <w:sz w:val="18"/>
                <w:szCs w:val="18"/>
              </w:rPr>
            </w:pPr>
            <w:r>
              <w:rPr>
                <w:sz w:val="18"/>
                <w:szCs w:val="18"/>
              </w:rPr>
              <w:t>1-3</w:t>
            </w:r>
          </w:p>
        </w:tc>
        <w:tc>
          <w:tcPr>
            <w:tcW w:w="1170" w:type="dxa"/>
            <w:vAlign w:val="center"/>
          </w:tcPr>
          <w:p w14:paraId="1B938B49" w14:textId="05099B14" w:rsidR="00B066A5" w:rsidRPr="00975A29" w:rsidRDefault="00B066A5" w:rsidP="00DD6D68">
            <w:pPr>
              <w:jc w:val="center"/>
              <w:rPr>
                <w:sz w:val="18"/>
                <w:szCs w:val="18"/>
              </w:rPr>
            </w:pPr>
            <w:r>
              <w:rPr>
                <w:sz w:val="18"/>
                <w:szCs w:val="18"/>
              </w:rPr>
              <w:t>A-C</w:t>
            </w:r>
          </w:p>
        </w:tc>
      </w:tr>
      <w:tr w:rsidR="00B066A5" w:rsidRPr="00410F33" w14:paraId="6ECDD1E3" w14:textId="78B92D58" w:rsidTr="00E50D0A">
        <w:tc>
          <w:tcPr>
            <w:tcW w:w="540" w:type="dxa"/>
            <w:vMerge/>
            <w:vAlign w:val="bottom"/>
          </w:tcPr>
          <w:p w14:paraId="6DD469BC" w14:textId="77777777" w:rsidR="00B066A5" w:rsidRPr="00253B36" w:rsidRDefault="00B066A5" w:rsidP="00DD6D68">
            <w:pPr>
              <w:jc w:val="center"/>
              <w:rPr>
                <w:b/>
                <w:sz w:val="22"/>
                <w:szCs w:val="22"/>
              </w:rPr>
            </w:pPr>
          </w:p>
        </w:tc>
        <w:tc>
          <w:tcPr>
            <w:tcW w:w="1170" w:type="dxa"/>
            <w:vAlign w:val="center"/>
          </w:tcPr>
          <w:p w14:paraId="08E937F4" w14:textId="4C205B7D" w:rsidR="00B066A5" w:rsidRPr="00B066A5" w:rsidRDefault="00B066A5" w:rsidP="00DD6D68">
            <w:pPr>
              <w:jc w:val="center"/>
              <w:rPr>
                <w:sz w:val="16"/>
                <w:szCs w:val="16"/>
              </w:rPr>
            </w:pPr>
            <w:r w:rsidRPr="00B066A5">
              <w:rPr>
                <w:sz w:val="16"/>
                <w:szCs w:val="16"/>
              </w:rPr>
              <w:t>Proficient</w:t>
            </w:r>
          </w:p>
        </w:tc>
        <w:tc>
          <w:tcPr>
            <w:tcW w:w="900" w:type="dxa"/>
            <w:vAlign w:val="center"/>
          </w:tcPr>
          <w:p w14:paraId="204E714A" w14:textId="3771F58A" w:rsidR="00B066A5" w:rsidRPr="00775B19" w:rsidRDefault="00C41FED" w:rsidP="00DD6D68">
            <w:pPr>
              <w:jc w:val="center"/>
              <w:rPr>
                <w:sz w:val="18"/>
                <w:szCs w:val="18"/>
              </w:rPr>
            </w:pPr>
            <w:r w:rsidRPr="00775B19">
              <w:rPr>
                <w:rFonts w:ascii="Cambria" w:hAnsi="Cambria"/>
                <w:sz w:val="18"/>
                <w:szCs w:val="18"/>
              </w:rPr>
              <w:t>2-6</w:t>
            </w:r>
          </w:p>
        </w:tc>
        <w:tc>
          <w:tcPr>
            <w:tcW w:w="1200" w:type="dxa"/>
            <w:vAlign w:val="center"/>
          </w:tcPr>
          <w:p w14:paraId="0746F149" w14:textId="047483A2" w:rsidR="00B066A5" w:rsidRPr="00775B19" w:rsidRDefault="00A0344E" w:rsidP="00DD6D68">
            <w:pPr>
              <w:jc w:val="center"/>
              <w:rPr>
                <w:sz w:val="18"/>
                <w:szCs w:val="18"/>
              </w:rPr>
            </w:pPr>
            <w:r w:rsidRPr="00775B19">
              <w:rPr>
                <w:sz w:val="18"/>
                <w:szCs w:val="18"/>
              </w:rPr>
              <w:t>B-E</w:t>
            </w:r>
          </w:p>
        </w:tc>
        <w:tc>
          <w:tcPr>
            <w:tcW w:w="1140" w:type="dxa"/>
            <w:shd w:val="clear" w:color="auto" w:fill="D9D9D9"/>
            <w:vAlign w:val="center"/>
          </w:tcPr>
          <w:p w14:paraId="7614396B" w14:textId="5008A55B" w:rsidR="00B066A5" w:rsidRPr="00975A29"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1941B0A4" w14:textId="1C6FAA5B" w:rsidR="00B066A5" w:rsidRPr="00975A29" w:rsidRDefault="00C41FED" w:rsidP="00DD6D68">
            <w:pPr>
              <w:jc w:val="center"/>
              <w:rPr>
                <w:sz w:val="18"/>
                <w:szCs w:val="18"/>
              </w:rPr>
            </w:pPr>
            <w:r>
              <w:rPr>
                <w:sz w:val="18"/>
                <w:szCs w:val="18"/>
              </w:rPr>
              <w:t>2-10</w:t>
            </w:r>
          </w:p>
        </w:tc>
        <w:tc>
          <w:tcPr>
            <w:tcW w:w="1123" w:type="dxa"/>
            <w:shd w:val="clear" w:color="auto" w:fill="D9D9D9"/>
            <w:vAlign w:val="center"/>
          </w:tcPr>
          <w:p w14:paraId="6621248F" w14:textId="3B6715FF" w:rsidR="00B066A5" w:rsidRPr="00975A29" w:rsidRDefault="00B066A5" w:rsidP="00DD6D68">
            <w:pPr>
              <w:jc w:val="center"/>
              <w:rPr>
                <w:sz w:val="18"/>
                <w:szCs w:val="18"/>
              </w:rPr>
            </w:pPr>
            <w:r w:rsidRPr="00975A29">
              <w:rPr>
                <w:sz w:val="18"/>
                <w:szCs w:val="18"/>
              </w:rPr>
              <w:t>B</w:t>
            </w:r>
            <w:r w:rsidR="00775B19">
              <w:rPr>
                <w:sz w:val="18"/>
                <w:szCs w:val="18"/>
              </w:rPr>
              <w:t>-F</w:t>
            </w:r>
          </w:p>
        </w:tc>
        <w:tc>
          <w:tcPr>
            <w:tcW w:w="1110" w:type="dxa"/>
            <w:vAlign w:val="center"/>
          </w:tcPr>
          <w:p w14:paraId="00EBBD67" w14:textId="6A096F72" w:rsidR="00B066A5" w:rsidRPr="00975A29" w:rsidRDefault="00B066A5" w:rsidP="00DD6D68">
            <w:pPr>
              <w:jc w:val="center"/>
              <w:rPr>
                <w:sz w:val="18"/>
                <w:szCs w:val="18"/>
              </w:rPr>
            </w:pPr>
            <w:r w:rsidRPr="00B066A5">
              <w:rPr>
                <w:sz w:val="16"/>
                <w:szCs w:val="16"/>
              </w:rPr>
              <w:t>Proficient</w:t>
            </w:r>
          </w:p>
        </w:tc>
        <w:tc>
          <w:tcPr>
            <w:tcW w:w="990" w:type="dxa"/>
            <w:vAlign w:val="center"/>
          </w:tcPr>
          <w:p w14:paraId="33F6CA8D" w14:textId="02E71BE9" w:rsidR="00B066A5" w:rsidRPr="00975A29" w:rsidRDefault="00B066A5" w:rsidP="00DD6D68">
            <w:pPr>
              <w:jc w:val="center"/>
              <w:rPr>
                <w:sz w:val="18"/>
                <w:szCs w:val="18"/>
              </w:rPr>
            </w:pPr>
            <w:r>
              <w:rPr>
                <w:sz w:val="18"/>
                <w:szCs w:val="18"/>
              </w:rPr>
              <w:t>4-</w:t>
            </w:r>
            <w:r w:rsidR="00C41FED">
              <w:rPr>
                <w:sz w:val="18"/>
                <w:szCs w:val="18"/>
              </w:rPr>
              <w:t>1</w:t>
            </w:r>
            <w:r>
              <w:rPr>
                <w:sz w:val="18"/>
                <w:szCs w:val="18"/>
              </w:rPr>
              <w:t>6</w:t>
            </w:r>
          </w:p>
        </w:tc>
        <w:tc>
          <w:tcPr>
            <w:tcW w:w="1170" w:type="dxa"/>
            <w:vAlign w:val="center"/>
          </w:tcPr>
          <w:p w14:paraId="730D930F" w14:textId="7ACCE35E" w:rsidR="00B066A5" w:rsidRPr="00975A29" w:rsidRDefault="00B066A5" w:rsidP="00DD6D68">
            <w:pPr>
              <w:jc w:val="center"/>
              <w:rPr>
                <w:sz w:val="18"/>
                <w:szCs w:val="18"/>
              </w:rPr>
            </w:pPr>
            <w:r>
              <w:rPr>
                <w:sz w:val="18"/>
                <w:szCs w:val="18"/>
              </w:rPr>
              <w:t>D</w:t>
            </w:r>
            <w:r w:rsidR="000532F5">
              <w:rPr>
                <w:sz w:val="18"/>
                <w:szCs w:val="18"/>
              </w:rPr>
              <w:t>-</w:t>
            </w:r>
            <w:r w:rsidR="00775B19">
              <w:rPr>
                <w:sz w:val="18"/>
                <w:szCs w:val="18"/>
              </w:rPr>
              <w:t>I</w:t>
            </w:r>
          </w:p>
        </w:tc>
      </w:tr>
      <w:tr w:rsidR="00B066A5" w:rsidRPr="00410F33" w14:paraId="6A210BBF" w14:textId="067653DB" w:rsidTr="00E50D0A">
        <w:tc>
          <w:tcPr>
            <w:tcW w:w="540" w:type="dxa"/>
            <w:vMerge/>
            <w:tcBorders>
              <w:bottom w:val="single" w:sz="18" w:space="0" w:color="auto"/>
            </w:tcBorders>
            <w:vAlign w:val="bottom"/>
          </w:tcPr>
          <w:p w14:paraId="68F9D784" w14:textId="77777777" w:rsidR="00B066A5" w:rsidRPr="00253B36" w:rsidRDefault="00B066A5" w:rsidP="00DD6D68">
            <w:pPr>
              <w:jc w:val="center"/>
              <w:rPr>
                <w:b/>
                <w:sz w:val="22"/>
                <w:szCs w:val="22"/>
              </w:rPr>
            </w:pPr>
          </w:p>
        </w:tc>
        <w:tc>
          <w:tcPr>
            <w:tcW w:w="1170" w:type="dxa"/>
            <w:tcBorders>
              <w:bottom w:val="single" w:sz="18" w:space="0" w:color="auto"/>
            </w:tcBorders>
            <w:vAlign w:val="center"/>
          </w:tcPr>
          <w:p w14:paraId="53CDD777" w14:textId="1062B616" w:rsidR="00B066A5" w:rsidRPr="00B066A5" w:rsidRDefault="00B066A5" w:rsidP="00DD6D68">
            <w:pPr>
              <w:jc w:val="center"/>
              <w:rPr>
                <w:sz w:val="16"/>
                <w:szCs w:val="16"/>
              </w:rPr>
            </w:pPr>
            <w:r w:rsidRPr="00B066A5">
              <w:rPr>
                <w:sz w:val="16"/>
                <w:szCs w:val="16"/>
              </w:rPr>
              <w:t>Advanced</w:t>
            </w:r>
          </w:p>
        </w:tc>
        <w:tc>
          <w:tcPr>
            <w:tcW w:w="900" w:type="dxa"/>
            <w:tcBorders>
              <w:bottom w:val="single" w:sz="18" w:space="0" w:color="auto"/>
            </w:tcBorders>
            <w:vAlign w:val="center"/>
          </w:tcPr>
          <w:p w14:paraId="7FE78431" w14:textId="390C0852" w:rsidR="00B066A5" w:rsidRPr="00775B19" w:rsidRDefault="00C41FED" w:rsidP="00DD6D68">
            <w:pPr>
              <w:jc w:val="center"/>
              <w:rPr>
                <w:sz w:val="18"/>
                <w:szCs w:val="18"/>
              </w:rPr>
            </w:pPr>
            <w:r w:rsidRPr="00775B19">
              <w:rPr>
                <w:rFonts w:ascii="Cambria" w:hAnsi="Cambria"/>
                <w:sz w:val="18"/>
                <w:szCs w:val="18"/>
              </w:rPr>
              <w:t>≥ 8</w:t>
            </w:r>
          </w:p>
        </w:tc>
        <w:tc>
          <w:tcPr>
            <w:tcW w:w="1200" w:type="dxa"/>
            <w:tcBorders>
              <w:bottom w:val="single" w:sz="18" w:space="0" w:color="auto"/>
            </w:tcBorders>
            <w:vAlign w:val="center"/>
          </w:tcPr>
          <w:p w14:paraId="5BAFB7B9" w14:textId="480E6D72" w:rsidR="00B066A5" w:rsidRPr="00775B19" w:rsidRDefault="00A0344E" w:rsidP="00DD6D68">
            <w:pPr>
              <w:jc w:val="center"/>
              <w:rPr>
                <w:sz w:val="18"/>
                <w:szCs w:val="18"/>
              </w:rPr>
            </w:pPr>
            <w:r w:rsidRPr="00775B19">
              <w:rPr>
                <w:rFonts w:ascii="Cambria" w:hAnsi="Cambria"/>
                <w:sz w:val="18"/>
                <w:szCs w:val="18"/>
              </w:rPr>
              <w:t>≥ E</w:t>
            </w:r>
          </w:p>
        </w:tc>
        <w:tc>
          <w:tcPr>
            <w:tcW w:w="1140" w:type="dxa"/>
            <w:tcBorders>
              <w:bottom w:val="single" w:sz="18" w:space="0" w:color="auto"/>
            </w:tcBorders>
            <w:shd w:val="clear" w:color="auto" w:fill="D9D9D9"/>
            <w:vAlign w:val="center"/>
          </w:tcPr>
          <w:p w14:paraId="1ACFDB61" w14:textId="392F3B6E" w:rsidR="00B066A5" w:rsidRPr="00975A29" w:rsidRDefault="00B066A5" w:rsidP="00DD6D68">
            <w:pPr>
              <w:jc w:val="center"/>
              <w:rPr>
                <w:sz w:val="18"/>
                <w:szCs w:val="18"/>
              </w:rPr>
            </w:pPr>
            <w:r w:rsidRPr="00B066A5">
              <w:rPr>
                <w:sz w:val="16"/>
                <w:szCs w:val="16"/>
              </w:rPr>
              <w:t>Advanced</w:t>
            </w:r>
          </w:p>
        </w:tc>
        <w:tc>
          <w:tcPr>
            <w:tcW w:w="1007" w:type="dxa"/>
            <w:tcBorders>
              <w:bottom w:val="single" w:sz="18" w:space="0" w:color="auto"/>
            </w:tcBorders>
            <w:shd w:val="clear" w:color="auto" w:fill="D9D9D9"/>
            <w:vAlign w:val="center"/>
          </w:tcPr>
          <w:p w14:paraId="4200EE5A" w14:textId="04F09423" w:rsidR="00B066A5" w:rsidRPr="00975A29" w:rsidRDefault="00C41FED" w:rsidP="00DD6D68">
            <w:pPr>
              <w:jc w:val="center"/>
              <w:rPr>
                <w:sz w:val="18"/>
                <w:szCs w:val="18"/>
              </w:rPr>
            </w:pPr>
            <w:r>
              <w:rPr>
                <w:rFonts w:ascii="Cambria" w:hAnsi="Cambria"/>
                <w:sz w:val="18"/>
                <w:szCs w:val="18"/>
              </w:rPr>
              <w:t>≥ 12</w:t>
            </w:r>
          </w:p>
        </w:tc>
        <w:tc>
          <w:tcPr>
            <w:tcW w:w="1123" w:type="dxa"/>
            <w:tcBorders>
              <w:bottom w:val="single" w:sz="18" w:space="0" w:color="auto"/>
            </w:tcBorders>
            <w:shd w:val="clear" w:color="auto" w:fill="D9D9D9"/>
            <w:vAlign w:val="center"/>
          </w:tcPr>
          <w:p w14:paraId="5CE5324B" w14:textId="033CBF49" w:rsidR="00B066A5" w:rsidRPr="00975A29" w:rsidRDefault="00FB32ED" w:rsidP="00DD6D68">
            <w:pPr>
              <w:jc w:val="center"/>
              <w:rPr>
                <w:sz w:val="18"/>
                <w:szCs w:val="18"/>
              </w:rPr>
            </w:pPr>
            <w:r>
              <w:rPr>
                <w:rFonts w:ascii="Cambria" w:hAnsi="Cambria"/>
                <w:sz w:val="18"/>
                <w:szCs w:val="18"/>
              </w:rPr>
              <w:t xml:space="preserve">≥ </w:t>
            </w:r>
            <w:r>
              <w:rPr>
                <w:sz w:val="18"/>
                <w:szCs w:val="18"/>
              </w:rPr>
              <w:t>G</w:t>
            </w:r>
          </w:p>
        </w:tc>
        <w:tc>
          <w:tcPr>
            <w:tcW w:w="1110" w:type="dxa"/>
            <w:tcBorders>
              <w:bottom w:val="single" w:sz="18" w:space="0" w:color="auto"/>
            </w:tcBorders>
            <w:vAlign w:val="center"/>
          </w:tcPr>
          <w:p w14:paraId="331FE856" w14:textId="734F40CE" w:rsidR="00B066A5" w:rsidRPr="00975A29" w:rsidRDefault="00B066A5" w:rsidP="00DD6D68">
            <w:pPr>
              <w:jc w:val="center"/>
              <w:rPr>
                <w:sz w:val="18"/>
                <w:szCs w:val="18"/>
              </w:rPr>
            </w:pPr>
            <w:r w:rsidRPr="00B066A5">
              <w:rPr>
                <w:sz w:val="16"/>
                <w:szCs w:val="16"/>
              </w:rPr>
              <w:t>Advanced</w:t>
            </w:r>
          </w:p>
        </w:tc>
        <w:tc>
          <w:tcPr>
            <w:tcW w:w="990" w:type="dxa"/>
            <w:tcBorders>
              <w:bottom w:val="single" w:sz="18" w:space="0" w:color="auto"/>
            </w:tcBorders>
            <w:vAlign w:val="center"/>
          </w:tcPr>
          <w:p w14:paraId="4C11DD51" w14:textId="07A70074" w:rsidR="00B066A5" w:rsidRPr="00975A29" w:rsidRDefault="00C41FED" w:rsidP="00DD6D68">
            <w:pPr>
              <w:jc w:val="center"/>
              <w:rPr>
                <w:sz w:val="18"/>
                <w:szCs w:val="18"/>
              </w:rPr>
            </w:pPr>
            <w:r>
              <w:rPr>
                <w:rFonts w:ascii="Cambria" w:hAnsi="Cambria"/>
                <w:sz w:val="18"/>
                <w:szCs w:val="18"/>
              </w:rPr>
              <w:t xml:space="preserve">≥ </w:t>
            </w:r>
            <w:r w:rsidR="00B066A5" w:rsidRPr="00975A29">
              <w:rPr>
                <w:sz w:val="18"/>
                <w:szCs w:val="18"/>
              </w:rPr>
              <w:t>1</w:t>
            </w:r>
            <w:r w:rsidR="00B066A5">
              <w:rPr>
                <w:sz w:val="18"/>
                <w:szCs w:val="18"/>
              </w:rPr>
              <w:t>8</w:t>
            </w:r>
          </w:p>
        </w:tc>
        <w:tc>
          <w:tcPr>
            <w:tcW w:w="1170" w:type="dxa"/>
            <w:tcBorders>
              <w:bottom w:val="single" w:sz="18" w:space="0" w:color="auto"/>
            </w:tcBorders>
            <w:vAlign w:val="center"/>
          </w:tcPr>
          <w:p w14:paraId="047BAC6A" w14:textId="26351891" w:rsidR="00B066A5" w:rsidRPr="00975A29" w:rsidRDefault="00775B19" w:rsidP="00DD6D68">
            <w:pPr>
              <w:jc w:val="center"/>
              <w:rPr>
                <w:sz w:val="18"/>
                <w:szCs w:val="18"/>
              </w:rPr>
            </w:pPr>
            <w:r>
              <w:rPr>
                <w:rFonts w:ascii="Cambria" w:hAnsi="Cambria"/>
                <w:sz w:val="18"/>
                <w:szCs w:val="18"/>
              </w:rPr>
              <w:t xml:space="preserve">≥ </w:t>
            </w:r>
            <w:r>
              <w:rPr>
                <w:sz w:val="18"/>
                <w:szCs w:val="18"/>
              </w:rPr>
              <w:t>J</w:t>
            </w:r>
          </w:p>
        </w:tc>
      </w:tr>
      <w:tr w:rsidR="0033717F" w:rsidRPr="00410F33" w14:paraId="527C581E" w14:textId="774E23DE" w:rsidTr="00E50D0A">
        <w:tc>
          <w:tcPr>
            <w:tcW w:w="540" w:type="dxa"/>
            <w:vMerge w:val="restart"/>
            <w:tcBorders>
              <w:top w:val="single" w:sz="18" w:space="0" w:color="auto"/>
            </w:tcBorders>
            <w:vAlign w:val="center"/>
          </w:tcPr>
          <w:p w14:paraId="10CC9CCB" w14:textId="70E79F81" w:rsidR="0033717F" w:rsidRPr="00253B36" w:rsidRDefault="0033717F" w:rsidP="00253B36">
            <w:pPr>
              <w:jc w:val="center"/>
              <w:rPr>
                <w:b/>
                <w:sz w:val="22"/>
                <w:szCs w:val="22"/>
              </w:rPr>
            </w:pPr>
            <w:r w:rsidRPr="00253B36">
              <w:rPr>
                <w:b/>
                <w:sz w:val="22"/>
                <w:szCs w:val="22"/>
              </w:rPr>
              <w:t>1</w:t>
            </w:r>
          </w:p>
        </w:tc>
        <w:tc>
          <w:tcPr>
            <w:tcW w:w="1170" w:type="dxa"/>
            <w:tcBorders>
              <w:top w:val="single" w:sz="18" w:space="0" w:color="auto"/>
            </w:tcBorders>
            <w:vAlign w:val="center"/>
          </w:tcPr>
          <w:p w14:paraId="14A7DBA2" w14:textId="02DDE4B2" w:rsidR="0033717F" w:rsidRPr="00B066A5" w:rsidRDefault="0033717F" w:rsidP="00DD6D68">
            <w:pPr>
              <w:jc w:val="center"/>
              <w:rPr>
                <w:sz w:val="16"/>
                <w:szCs w:val="16"/>
              </w:rPr>
            </w:pPr>
            <w:r w:rsidRPr="00B066A5">
              <w:rPr>
                <w:sz w:val="16"/>
                <w:szCs w:val="16"/>
              </w:rPr>
              <w:t>Substantially Deficient</w:t>
            </w:r>
          </w:p>
        </w:tc>
        <w:tc>
          <w:tcPr>
            <w:tcW w:w="900" w:type="dxa"/>
            <w:tcBorders>
              <w:top w:val="single" w:sz="18" w:space="0" w:color="auto"/>
            </w:tcBorders>
            <w:vAlign w:val="center"/>
          </w:tcPr>
          <w:p w14:paraId="1A98980D" w14:textId="70405FC7" w:rsidR="0033717F" w:rsidRPr="00975A29" w:rsidRDefault="0033717F" w:rsidP="00DD6D68">
            <w:pPr>
              <w:jc w:val="center"/>
              <w:rPr>
                <w:sz w:val="18"/>
                <w:szCs w:val="18"/>
              </w:rPr>
            </w:pPr>
            <w:r w:rsidRPr="00975A29">
              <w:rPr>
                <w:rFonts w:ascii="Cambria" w:hAnsi="Cambria"/>
                <w:sz w:val="18"/>
                <w:szCs w:val="18"/>
              </w:rPr>
              <w:t xml:space="preserve">≤ </w:t>
            </w:r>
            <w:r w:rsidRPr="00975A29">
              <w:rPr>
                <w:sz w:val="18"/>
                <w:szCs w:val="18"/>
              </w:rPr>
              <w:t>1</w:t>
            </w:r>
          </w:p>
        </w:tc>
        <w:tc>
          <w:tcPr>
            <w:tcW w:w="1200" w:type="dxa"/>
            <w:tcBorders>
              <w:top w:val="single" w:sz="18" w:space="0" w:color="auto"/>
            </w:tcBorders>
            <w:vAlign w:val="center"/>
          </w:tcPr>
          <w:p w14:paraId="357EA8EF" w14:textId="0EEDDE9F" w:rsidR="0033717F" w:rsidRPr="00975A29" w:rsidRDefault="0033717F" w:rsidP="00DD6D68">
            <w:pPr>
              <w:jc w:val="center"/>
              <w:rPr>
                <w:sz w:val="18"/>
                <w:szCs w:val="18"/>
              </w:rPr>
            </w:pPr>
            <w:r w:rsidRPr="00975A29">
              <w:rPr>
                <w:sz w:val="18"/>
                <w:szCs w:val="18"/>
              </w:rPr>
              <w:t>A</w:t>
            </w:r>
          </w:p>
        </w:tc>
        <w:tc>
          <w:tcPr>
            <w:tcW w:w="1140" w:type="dxa"/>
            <w:tcBorders>
              <w:top w:val="single" w:sz="18" w:space="0" w:color="auto"/>
            </w:tcBorders>
            <w:shd w:val="clear" w:color="auto" w:fill="D9D9D9"/>
            <w:vAlign w:val="center"/>
          </w:tcPr>
          <w:p w14:paraId="06A19F0F" w14:textId="36A87928" w:rsidR="0033717F" w:rsidRPr="00975A29" w:rsidRDefault="0033717F"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65C7C276" w14:textId="7E52771F" w:rsidR="0033717F" w:rsidRPr="00975A29" w:rsidRDefault="0033717F" w:rsidP="00DD6D68">
            <w:pPr>
              <w:jc w:val="center"/>
              <w:rPr>
                <w:sz w:val="18"/>
                <w:szCs w:val="18"/>
              </w:rPr>
            </w:pPr>
            <w:r w:rsidRPr="00975A29">
              <w:rPr>
                <w:rFonts w:ascii="Cambria" w:hAnsi="Cambria"/>
                <w:sz w:val="18"/>
                <w:szCs w:val="18"/>
              </w:rPr>
              <w:t xml:space="preserve">≤ </w:t>
            </w:r>
            <w:r>
              <w:rPr>
                <w:sz w:val="18"/>
                <w:szCs w:val="18"/>
              </w:rPr>
              <w:t>6</w:t>
            </w:r>
          </w:p>
        </w:tc>
        <w:tc>
          <w:tcPr>
            <w:tcW w:w="1123" w:type="dxa"/>
            <w:tcBorders>
              <w:top w:val="single" w:sz="18" w:space="0" w:color="auto"/>
            </w:tcBorders>
            <w:shd w:val="clear" w:color="auto" w:fill="D9D9D9"/>
            <w:vAlign w:val="center"/>
          </w:tcPr>
          <w:p w14:paraId="4D9C6174" w14:textId="5842A124" w:rsidR="0033717F" w:rsidRPr="00975A29" w:rsidRDefault="0033717F" w:rsidP="00DD6D68">
            <w:pPr>
              <w:jc w:val="center"/>
              <w:rPr>
                <w:sz w:val="18"/>
                <w:szCs w:val="18"/>
              </w:rPr>
            </w:pPr>
            <w:r w:rsidRPr="00975A29">
              <w:rPr>
                <w:rFonts w:ascii="Cambria" w:hAnsi="Cambria"/>
                <w:sz w:val="18"/>
                <w:szCs w:val="18"/>
              </w:rPr>
              <w:t xml:space="preserve">≤ </w:t>
            </w:r>
            <w:r>
              <w:rPr>
                <w:sz w:val="18"/>
                <w:szCs w:val="18"/>
              </w:rPr>
              <w:t>E</w:t>
            </w:r>
          </w:p>
        </w:tc>
        <w:tc>
          <w:tcPr>
            <w:tcW w:w="1110" w:type="dxa"/>
            <w:tcBorders>
              <w:top w:val="single" w:sz="18" w:space="0" w:color="auto"/>
            </w:tcBorders>
            <w:vAlign w:val="center"/>
          </w:tcPr>
          <w:p w14:paraId="015FC7B0" w14:textId="41806F64" w:rsidR="0033717F" w:rsidRPr="00975A29" w:rsidRDefault="0033717F"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7715E1A9" w14:textId="41CC1D8D" w:rsidR="0033717F" w:rsidRPr="00975A29" w:rsidRDefault="0033717F" w:rsidP="00DD6D68">
            <w:pPr>
              <w:jc w:val="center"/>
              <w:rPr>
                <w:sz w:val="18"/>
                <w:szCs w:val="18"/>
              </w:rPr>
            </w:pPr>
            <w:r w:rsidRPr="00975A29">
              <w:rPr>
                <w:rFonts w:ascii="Cambria" w:hAnsi="Cambria"/>
                <w:sz w:val="18"/>
                <w:szCs w:val="18"/>
              </w:rPr>
              <w:t xml:space="preserve">≤ </w:t>
            </w:r>
            <w:r>
              <w:rPr>
                <w:rFonts w:ascii="Cambria" w:hAnsi="Cambria"/>
                <w:sz w:val="18"/>
                <w:szCs w:val="18"/>
              </w:rPr>
              <w:t>10</w:t>
            </w:r>
          </w:p>
        </w:tc>
        <w:tc>
          <w:tcPr>
            <w:tcW w:w="1170" w:type="dxa"/>
            <w:tcBorders>
              <w:top w:val="single" w:sz="18" w:space="0" w:color="auto"/>
            </w:tcBorders>
            <w:vAlign w:val="center"/>
          </w:tcPr>
          <w:p w14:paraId="0BC2E5E6" w14:textId="5DC612AB" w:rsidR="0033717F" w:rsidRPr="00975A29" w:rsidRDefault="0033717F" w:rsidP="00DD6D68">
            <w:pPr>
              <w:jc w:val="center"/>
              <w:rPr>
                <w:sz w:val="18"/>
                <w:szCs w:val="18"/>
              </w:rPr>
            </w:pPr>
            <w:r w:rsidRPr="00975A29">
              <w:rPr>
                <w:rFonts w:ascii="Cambria" w:hAnsi="Cambria"/>
                <w:sz w:val="18"/>
                <w:szCs w:val="18"/>
              </w:rPr>
              <w:t xml:space="preserve">≤ </w:t>
            </w:r>
            <w:r>
              <w:rPr>
                <w:rFonts w:ascii="Cambria" w:hAnsi="Cambria"/>
                <w:sz w:val="18"/>
                <w:szCs w:val="18"/>
              </w:rPr>
              <w:t>F</w:t>
            </w:r>
          </w:p>
        </w:tc>
      </w:tr>
      <w:tr w:rsidR="00B066A5" w:rsidRPr="00410F33" w14:paraId="5CEF3005" w14:textId="2A3930D9" w:rsidTr="00E50D0A">
        <w:tc>
          <w:tcPr>
            <w:tcW w:w="540" w:type="dxa"/>
            <w:vMerge/>
            <w:vAlign w:val="bottom"/>
          </w:tcPr>
          <w:p w14:paraId="074D650C" w14:textId="77777777" w:rsidR="00B066A5" w:rsidRPr="00253B36" w:rsidRDefault="00B066A5" w:rsidP="00DD6D68">
            <w:pPr>
              <w:jc w:val="center"/>
              <w:rPr>
                <w:b/>
                <w:sz w:val="22"/>
                <w:szCs w:val="22"/>
              </w:rPr>
            </w:pPr>
          </w:p>
        </w:tc>
        <w:tc>
          <w:tcPr>
            <w:tcW w:w="1170" w:type="dxa"/>
            <w:vAlign w:val="center"/>
          </w:tcPr>
          <w:p w14:paraId="3F2A3CC0" w14:textId="7C06B56E" w:rsidR="00B066A5" w:rsidRPr="00B066A5" w:rsidRDefault="00B066A5" w:rsidP="00DD6D68">
            <w:pPr>
              <w:jc w:val="center"/>
              <w:rPr>
                <w:sz w:val="16"/>
                <w:szCs w:val="16"/>
              </w:rPr>
            </w:pPr>
            <w:r w:rsidRPr="00B066A5">
              <w:rPr>
                <w:sz w:val="16"/>
                <w:szCs w:val="16"/>
              </w:rPr>
              <w:t>Partially Proficient</w:t>
            </w:r>
          </w:p>
        </w:tc>
        <w:tc>
          <w:tcPr>
            <w:tcW w:w="900" w:type="dxa"/>
            <w:vAlign w:val="center"/>
          </w:tcPr>
          <w:p w14:paraId="3CFB4300" w14:textId="50C9EEC7" w:rsidR="00B066A5" w:rsidRPr="00975A29" w:rsidRDefault="00B066A5" w:rsidP="00DD6D68">
            <w:pPr>
              <w:jc w:val="center"/>
              <w:rPr>
                <w:sz w:val="18"/>
                <w:szCs w:val="18"/>
              </w:rPr>
            </w:pPr>
            <w:r w:rsidRPr="00975A29">
              <w:rPr>
                <w:sz w:val="18"/>
                <w:szCs w:val="18"/>
              </w:rPr>
              <w:t>2</w:t>
            </w:r>
            <w:r>
              <w:rPr>
                <w:sz w:val="18"/>
                <w:szCs w:val="18"/>
              </w:rPr>
              <w:t>-3</w:t>
            </w:r>
          </w:p>
        </w:tc>
        <w:tc>
          <w:tcPr>
            <w:tcW w:w="1200" w:type="dxa"/>
            <w:vAlign w:val="center"/>
          </w:tcPr>
          <w:p w14:paraId="3A344BDF" w14:textId="39AD9B0E" w:rsidR="00B066A5" w:rsidRPr="00975A29" w:rsidRDefault="00B066A5" w:rsidP="00DD6D68">
            <w:pPr>
              <w:jc w:val="center"/>
              <w:rPr>
                <w:sz w:val="18"/>
                <w:szCs w:val="18"/>
              </w:rPr>
            </w:pPr>
            <w:r w:rsidRPr="00975A29">
              <w:rPr>
                <w:sz w:val="18"/>
                <w:szCs w:val="18"/>
              </w:rPr>
              <w:t>B</w:t>
            </w:r>
            <w:r w:rsidR="001C5D29">
              <w:rPr>
                <w:sz w:val="18"/>
                <w:szCs w:val="18"/>
              </w:rPr>
              <w:t>-C</w:t>
            </w:r>
          </w:p>
        </w:tc>
        <w:tc>
          <w:tcPr>
            <w:tcW w:w="1140" w:type="dxa"/>
            <w:shd w:val="clear" w:color="auto" w:fill="D9D9D9"/>
            <w:vAlign w:val="center"/>
          </w:tcPr>
          <w:p w14:paraId="52695EDA" w14:textId="2145A346" w:rsidR="00B066A5" w:rsidRPr="00975A29"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576F1BAF" w14:textId="77F7F6BA" w:rsidR="00B066A5" w:rsidRPr="00975A29" w:rsidRDefault="00E50D0A" w:rsidP="00DD6D68">
            <w:pPr>
              <w:jc w:val="center"/>
              <w:rPr>
                <w:sz w:val="18"/>
                <w:szCs w:val="18"/>
              </w:rPr>
            </w:pPr>
            <w:r>
              <w:rPr>
                <w:sz w:val="18"/>
                <w:szCs w:val="18"/>
              </w:rPr>
              <w:t>8</w:t>
            </w:r>
            <w:r w:rsidR="00B066A5">
              <w:rPr>
                <w:sz w:val="18"/>
                <w:szCs w:val="18"/>
              </w:rPr>
              <w:t>-10</w:t>
            </w:r>
          </w:p>
        </w:tc>
        <w:tc>
          <w:tcPr>
            <w:tcW w:w="1123" w:type="dxa"/>
            <w:shd w:val="clear" w:color="auto" w:fill="D9D9D9"/>
            <w:vAlign w:val="center"/>
          </w:tcPr>
          <w:p w14:paraId="5C859457" w14:textId="6B84ED6B" w:rsidR="00B066A5" w:rsidRPr="00975A29" w:rsidRDefault="00484CE5" w:rsidP="00DD6D68">
            <w:pPr>
              <w:jc w:val="center"/>
              <w:rPr>
                <w:sz w:val="18"/>
                <w:szCs w:val="18"/>
              </w:rPr>
            </w:pPr>
            <w:r>
              <w:rPr>
                <w:sz w:val="18"/>
                <w:szCs w:val="18"/>
              </w:rPr>
              <w:t>E-F</w:t>
            </w:r>
          </w:p>
        </w:tc>
        <w:tc>
          <w:tcPr>
            <w:tcW w:w="1110" w:type="dxa"/>
            <w:vAlign w:val="center"/>
          </w:tcPr>
          <w:p w14:paraId="2F68A784" w14:textId="24A4A8AE" w:rsidR="00B066A5" w:rsidRPr="00975A29" w:rsidRDefault="00B066A5" w:rsidP="00DD6D68">
            <w:pPr>
              <w:jc w:val="center"/>
              <w:rPr>
                <w:sz w:val="18"/>
                <w:szCs w:val="18"/>
              </w:rPr>
            </w:pPr>
            <w:r w:rsidRPr="00B066A5">
              <w:rPr>
                <w:sz w:val="16"/>
                <w:szCs w:val="16"/>
              </w:rPr>
              <w:t>Partially Proficient</w:t>
            </w:r>
          </w:p>
        </w:tc>
        <w:tc>
          <w:tcPr>
            <w:tcW w:w="990" w:type="dxa"/>
            <w:vAlign w:val="center"/>
          </w:tcPr>
          <w:p w14:paraId="742BCF9C" w14:textId="2D1FE59E" w:rsidR="00B066A5" w:rsidRPr="00975A29" w:rsidRDefault="000532F5" w:rsidP="00DD6D68">
            <w:pPr>
              <w:jc w:val="center"/>
              <w:rPr>
                <w:sz w:val="18"/>
                <w:szCs w:val="18"/>
              </w:rPr>
            </w:pPr>
            <w:r>
              <w:rPr>
                <w:sz w:val="18"/>
                <w:szCs w:val="18"/>
              </w:rPr>
              <w:t>12</w:t>
            </w:r>
            <w:r w:rsidR="00B066A5" w:rsidRPr="00975A29">
              <w:rPr>
                <w:sz w:val="18"/>
                <w:szCs w:val="18"/>
              </w:rPr>
              <w:t>-1</w:t>
            </w:r>
            <w:r>
              <w:rPr>
                <w:sz w:val="18"/>
                <w:szCs w:val="18"/>
              </w:rPr>
              <w:t>6</w:t>
            </w:r>
          </w:p>
        </w:tc>
        <w:tc>
          <w:tcPr>
            <w:tcW w:w="1170" w:type="dxa"/>
            <w:vAlign w:val="center"/>
          </w:tcPr>
          <w:p w14:paraId="6F13C2FB" w14:textId="728EE7C3" w:rsidR="00B066A5" w:rsidRPr="00975A29" w:rsidRDefault="005A3087" w:rsidP="00DD6D68">
            <w:pPr>
              <w:jc w:val="center"/>
              <w:rPr>
                <w:sz w:val="18"/>
                <w:szCs w:val="18"/>
              </w:rPr>
            </w:pPr>
            <w:r>
              <w:rPr>
                <w:sz w:val="18"/>
                <w:szCs w:val="18"/>
              </w:rPr>
              <w:t>G-I</w:t>
            </w:r>
          </w:p>
        </w:tc>
      </w:tr>
      <w:tr w:rsidR="00B066A5" w:rsidRPr="00410F33" w14:paraId="1C6EFAD3" w14:textId="4BA8753D" w:rsidTr="00E50D0A">
        <w:tc>
          <w:tcPr>
            <w:tcW w:w="540" w:type="dxa"/>
            <w:vMerge/>
            <w:vAlign w:val="bottom"/>
          </w:tcPr>
          <w:p w14:paraId="07F318C3" w14:textId="77777777" w:rsidR="00B066A5" w:rsidRPr="00253B36" w:rsidRDefault="00B066A5" w:rsidP="00DD6D68">
            <w:pPr>
              <w:jc w:val="center"/>
              <w:rPr>
                <w:b/>
                <w:sz w:val="22"/>
                <w:szCs w:val="22"/>
              </w:rPr>
            </w:pPr>
          </w:p>
        </w:tc>
        <w:tc>
          <w:tcPr>
            <w:tcW w:w="1170" w:type="dxa"/>
            <w:vAlign w:val="center"/>
          </w:tcPr>
          <w:p w14:paraId="1409AAD6" w14:textId="286B2B08" w:rsidR="00B066A5" w:rsidRPr="00B066A5" w:rsidRDefault="00B066A5" w:rsidP="00DD6D68">
            <w:pPr>
              <w:jc w:val="center"/>
              <w:rPr>
                <w:sz w:val="16"/>
                <w:szCs w:val="16"/>
              </w:rPr>
            </w:pPr>
            <w:r w:rsidRPr="00B066A5">
              <w:rPr>
                <w:sz w:val="16"/>
                <w:szCs w:val="16"/>
              </w:rPr>
              <w:t>Proficient</w:t>
            </w:r>
          </w:p>
        </w:tc>
        <w:tc>
          <w:tcPr>
            <w:tcW w:w="900" w:type="dxa"/>
            <w:vAlign w:val="center"/>
          </w:tcPr>
          <w:p w14:paraId="354D5B80" w14:textId="6FE44F66" w:rsidR="00B066A5" w:rsidRPr="00975A29" w:rsidRDefault="00B066A5" w:rsidP="00DD6D68">
            <w:pPr>
              <w:jc w:val="center"/>
              <w:rPr>
                <w:sz w:val="18"/>
                <w:szCs w:val="18"/>
              </w:rPr>
            </w:pPr>
            <w:r>
              <w:rPr>
                <w:sz w:val="18"/>
                <w:szCs w:val="18"/>
              </w:rPr>
              <w:t>4</w:t>
            </w:r>
            <w:r w:rsidRPr="00975A29">
              <w:rPr>
                <w:sz w:val="18"/>
                <w:szCs w:val="18"/>
              </w:rPr>
              <w:t>-</w:t>
            </w:r>
            <w:r w:rsidR="00C41FED">
              <w:rPr>
                <w:sz w:val="18"/>
                <w:szCs w:val="18"/>
              </w:rPr>
              <w:t>1</w:t>
            </w:r>
            <w:r w:rsidRPr="00975A29">
              <w:rPr>
                <w:sz w:val="18"/>
                <w:szCs w:val="18"/>
              </w:rPr>
              <w:t>8</w:t>
            </w:r>
          </w:p>
        </w:tc>
        <w:tc>
          <w:tcPr>
            <w:tcW w:w="1200" w:type="dxa"/>
            <w:vAlign w:val="center"/>
          </w:tcPr>
          <w:p w14:paraId="322616D8" w14:textId="396F00F9" w:rsidR="00B066A5" w:rsidRPr="00975A29" w:rsidRDefault="001C5D29" w:rsidP="00DD6D68">
            <w:pPr>
              <w:jc w:val="center"/>
              <w:rPr>
                <w:sz w:val="18"/>
                <w:szCs w:val="18"/>
              </w:rPr>
            </w:pPr>
            <w:r>
              <w:rPr>
                <w:sz w:val="18"/>
                <w:szCs w:val="18"/>
              </w:rPr>
              <w:t>D</w:t>
            </w:r>
            <w:r w:rsidR="00B066A5" w:rsidRPr="00975A29">
              <w:rPr>
                <w:sz w:val="18"/>
                <w:szCs w:val="18"/>
              </w:rPr>
              <w:t>-</w:t>
            </w:r>
            <w:r w:rsidR="00CA5F90">
              <w:rPr>
                <w:sz w:val="18"/>
                <w:szCs w:val="18"/>
              </w:rPr>
              <w:t>J</w:t>
            </w:r>
            <w:bookmarkStart w:id="0" w:name="_GoBack"/>
            <w:bookmarkEnd w:id="0"/>
          </w:p>
        </w:tc>
        <w:tc>
          <w:tcPr>
            <w:tcW w:w="1140" w:type="dxa"/>
            <w:shd w:val="clear" w:color="auto" w:fill="D9D9D9"/>
            <w:vAlign w:val="center"/>
          </w:tcPr>
          <w:p w14:paraId="51EB9DD8" w14:textId="0D7A5605" w:rsidR="00B066A5" w:rsidRPr="00975A29"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23406EE8" w14:textId="7C227186" w:rsidR="00B066A5" w:rsidRPr="00975A29" w:rsidRDefault="001C5D29" w:rsidP="00DD6D68">
            <w:pPr>
              <w:jc w:val="center"/>
              <w:rPr>
                <w:sz w:val="18"/>
                <w:szCs w:val="18"/>
              </w:rPr>
            </w:pPr>
            <w:r>
              <w:rPr>
                <w:sz w:val="18"/>
                <w:szCs w:val="18"/>
              </w:rPr>
              <w:t>12-20</w:t>
            </w:r>
          </w:p>
        </w:tc>
        <w:tc>
          <w:tcPr>
            <w:tcW w:w="1123" w:type="dxa"/>
            <w:shd w:val="clear" w:color="auto" w:fill="D9D9D9"/>
            <w:vAlign w:val="center"/>
          </w:tcPr>
          <w:p w14:paraId="0B7E1531" w14:textId="14859720" w:rsidR="00B066A5" w:rsidRPr="00975A29" w:rsidRDefault="00484CE5" w:rsidP="00DD6D68">
            <w:pPr>
              <w:jc w:val="center"/>
              <w:rPr>
                <w:sz w:val="18"/>
                <w:szCs w:val="18"/>
              </w:rPr>
            </w:pPr>
            <w:r>
              <w:rPr>
                <w:sz w:val="18"/>
                <w:szCs w:val="18"/>
              </w:rPr>
              <w:t>G-</w:t>
            </w:r>
            <w:r w:rsidR="001C5D29">
              <w:rPr>
                <w:sz w:val="18"/>
                <w:szCs w:val="18"/>
              </w:rPr>
              <w:t>K</w:t>
            </w:r>
          </w:p>
        </w:tc>
        <w:tc>
          <w:tcPr>
            <w:tcW w:w="1110" w:type="dxa"/>
            <w:vAlign w:val="center"/>
          </w:tcPr>
          <w:p w14:paraId="571359F5" w14:textId="69BCC768" w:rsidR="00B066A5" w:rsidRPr="00975A29" w:rsidRDefault="00B066A5" w:rsidP="00DD6D68">
            <w:pPr>
              <w:jc w:val="center"/>
              <w:rPr>
                <w:sz w:val="18"/>
                <w:szCs w:val="18"/>
              </w:rPr>
            </w:pPr>
            <w:r w:rsidRPr="00B066A5">
              <w:rPr>
                <w:sz w:val="16"/>
                <w:szCs w:val="16"/>
              </w:rPr>
              <w:t>Proficient</w:t>
            </w:r>
          </w:p>
        </w:tc>
        <w:tc>
          <w:tcPr>
            <w:tcW w:w="990" w:type="dxa"/>
            <w:vAlign w:val="center"/>
          </w:tcPr>
          <w:p w14:paraId="1F8384E8" w14:textId="705980F8" w:rsidR="00B066A5" w:rsidRPr="00975A29" w:rsidRDefault="00B066A5" w:rsidP="00DD6D68">
            <w:pPr>
              <w:jc w:val="center"/>
              <w:rPr>
                <w:sz w:val="18"/>
                <w:szCs w:val="18"/>
              </w:rPr>
            </w:pPr>
            <w:r w:rsidRPr="00975A29">
              <w:rPr>
                <w:sz w:val="18"/>
                <w:szCs w:val="18"/>
              </w:rPr>
              <w:t>18</w:t>
            </w:r>
            <w:r>
              <w:rPr>
                <w:sz w:val="18"/>
                <w:szCs w:val="18"/>
              </w:rPr>
              <w:t>-2</w:t>
            </w:r>
            <w:r w:rsidR="001C5D29">
              <w:rPr>
                <w:sz w:val="18"/>
                <w:szCs w:val="18"/>
              </w:rPr>
              <w:t>4</w:t>
            </w:r>
          </w:p>
        </w:tc>
        <w:tc>
          <w:tcPr>
            <w:tcW w:w="1170" w:type="dxa"/>
            <w:vAlign w:val="center"/>
          </w:tcPr>
          <w:p w14:paraId="18A68DB0" w14:textId="05217F38" w:rsidR="00B066A5" w:rsidRPr="00975A29" w:rsidRDefault="00B066A5" w:rsidP="00DD6D68">
            <w:pPr>
              <w:jc w:val="center"/>
              <w:rPr>
                <w:sz w:val="18"/>
                <w:szCs w:val="18"/>
              </w:rPr>
            </w:pPr>
            <w:r w:rsidRPr="00975A29">
              <w:rPr>
                <w:sz w:val="18"/>
                <w:szCs w:val="18"/>
              </w:rPr>
              <w:t>J</w:t>
            </w:r>
            <w:r w:rsidR="005A3087">
              <w:rPr>
                <w:sz w:val="18"/>
                <w:szCs w:val="18"/>
              </w:rPr>
              <w:t>-L</w:t>
            </w:r>
          </w:p>
        </w:tc>
      </w:tr>
      <w:tr w:rsidR="00B066A5" w:rsidRPr="00410F33" w14:paraId="617A8BC6" w14:textId="350EC1AB" w:rsidTr="00E50D0A">
        <w:tc>
          <w:tcPr>
            <w:tcW w:w="540" w:type="dxa"/>
            <w:vMerge/>
            <w:tcBorders>
              <w:bottom w:val="single" w:sz="18" w:space="0" w:color="auto"/>
            </w:tcBorders>
            <w:vAlign w:val="bottom"/>
          </w:tcPr>
          <w:p w14:paraId="68993CED" w14:textId="77777777" w:rsidR="00B066A5" w:rsidRPr="00253B36" w:rsidRDefault="00B066A5" w:rsidP="00DD6D68">
            <w:pPr>
              <w:jc w:val="center"/>
              <w:rPr>
                <w:b/>
                <w:sz w:val="22"/>
                <w:szCs w:val="22"/>
              </w:rPr>
            </w:pPr>
          </w:p>
        </w:tc>
        <w:tc>
          <w:tcPr>
            <w:tcW w:w="1170" w:type="dxa"/>
            <w:tcBorders>
              <w:bottom w:val="single" w:sz="18" w:space="0" w:color="auto"/>
            </w:tcBorders>
            <w:vAlign w:val="center"/>
          </w:tcPr>
          <w:p w14:paraId="59C34CDA" w14:textId="325EA54D" w:rsidR="00B066A5" w:rsidRPr="00B066A5" w:rsidRDefault="00B066A5" w:rsidP="00DD6D68">
            <w:pPr>
              <w:jc w:val="center"/>
              <w:rPr>
                <w:sz w:val="16"/>
                <w:szCs w:val="16"/>
              </w:rPr>
            </w:pPr>
            <w:r w:rsidRPr="00B066A5">
              <w:rPr>
                <w:sz w:val="16"/>
                <w:szCs w:val="16"/>
              </w:rPr>
              <w:t>Advanced</w:t>
            </w:r>
          </w:p>
        </w:tc>
        <w:tc>
          <w:tcPr>
            <w:tcW w:w="900" w:type="dxa"/>
            <w:tcBorders>
              <w:bottom w:val="single" w:sz="18" w:space="0" w:color="auto"/>
            </w:tcBorders>
            <w:vAlign w:val="center"/>
          </w:tcPr>
          <w:p w14:paraId="6CDEC409" w14:textId="0E57160F" w:rsidR="00B066A5" w:rsidRPr="00975A29" w:rsidRDefault="00C41FED" w:rsidP="00DD6D68">
            <w:pPr>
              <w:jc w:val="center"/>
              <w:rPr>
                <w:sz w:val="18"/>
                <w:szCs w:val="18"/>
              </w:rPr>
            </w:pPr>
            <w:r>
              <w:rPr>
                <w:rFonts w:ascii="Cambria" w:hAnsi="Cambria"/>
                <w:sz w:val="18"/>
                <w:szCs w:val="18"/>
              </w:rPr>
              <w:t>≥ 20</w:t>
            </w:r>
          </w:p>
        </w:tc>
        <w:tc>
          <w:tcPr>
            <w:tcW w:w="1200" w:type="dxa"/>
            <w:tcBorders>
              <w:bottom w:val="single" w:sz="18" w:space="0" w:color="auto"/>
            </w:tcBorders>
            <w:vAlign w:val="center"/>
          </w:tcPr>
          <w:p w14:paraId="7E0EEC2B" w14:textId="1EF85DA0" w:rsidR="00B066A5" w:rsidRPr="00975A29" w:rsidRDefault="001C5D29" w:rsidP="00DD6D68">
            <w:pPr>
              <w:jc w:val="center"/>
              <w:rPr>
                <w:sz w:val="18"/>
                <w:szCs w:val="18"/>
              </w:rPr>
            </w:pPr>
            <w:r>
              <w:rPr>
                <w:rFonts w:ascii="Cambria" w:hAnsi="Cambria"/>
                <w:sz w:val="18"/>
                <w:szCs w:val="18"/>
              </w:rPr>
              <w:t xml:space="preserve">≥ </w:t>
            </w:r>
            <w:r>
              <w:rPr>
                <w:sz w:val="18"/>
                <w:szCs w:val="18"/>
              </w:rPr>
              <w:t>K</w:t>
            </w:r>
          </w:p>
        </w:tc>
        <w:tc>
          <w:tcPr>
            <w:tcW w:w="1140" w:type="dxa"/>
            <w:tcBorders>
              <w:bottom w:val="single" w:sz="18" w:space="0" w:color="auto"/>
            </w:tcBorders>
            <w:shd w:val="clear" w:color="auto" w:fill="D9D9D9"/>
            <w:vAlign w:val="center"/>
          </w:tcPr>
          <w:p w14:paraId="34683198" w14:textId="00758674" w:rsidR="00B066A5" w:rsidRPr="00975A29" w:rsidRDefault="00B066A5" w:rsidP="00DD6D68">
            <w:pPr>
              <w:jc w:val="center"/>
              <w:rPr>
                <w:sz w:val="18"/>
                <w:szCs w:val="18"/>
              </w:rPr>
            </w:pPr>
            <w:r w:rsidRPr="00B066A5">
              <w:rPr>
                <w:sz w:val="16"/>
                <w:szCs w:val="16"/>
              </w:rPr>
              <w:t>Advanced</w:t>
            </w:r>
          </w:p>
        </w:tc>
        <w:tc>
          <w:tcPr>
            <w:tcW w:w="1007" w:type="dxa"/>
            <w:tcBorders>
              <w:bottom w:val="single" w:sz="18" w:space="0" w:color="auto"/>
            </w:tcBorders>
            <w:shd w:val="clear" w:color="auto" w:fill="D9D9D9"/>
            <w:vAlign w:val="center"/>
          </w:tcPr>
          <w:p w14:paraId="7D12D5E9" w14:textId="31D25C34" w:rsidR="00B066A5" w:rsidRPr="00975A29" w:rsidRDefault="00C41FED" w:rsidP="00DD6D68">
            <w:pPr>
              <w:jc w:val="center"/>
              <w:rPr>
                <w:sz w:val="18"/>
                <w:szCs w:val="18"/>
              </w:rPr>
            </w:pPr>
            <w:r>
              <w:rPr>
                <w:rFonts w:ascii="Cambria" w:hAnsi="Cambria"/>
                <w:sz w:val="18"/>
                <w:szCs w:val="18"/>
              </w:rPr>
              <w:t>≥ 24</w:t>
            </w:r>
          </w:p>
        </w:tc>
        <w:tc>
          <w:tcPr>
            <w:tcW w:w="1123" w:type="dxa"/>
            <w:tcBorders>
              <w:bottom w:val="single" w:sz="18" w:space="0" w:color="auto"/>
            </w:tcBorders>
            <w:shd w:val="clear" w:color="auto" w:fill="D9D9D9"/>
            <w:vAlign w:val="center"/>
          </w:tcPr>
          <w:p w14:paraId="41F86569" w14:textId="541AD0C8" w:rsidR="00B066A5" w:rsidRPr="00975A29" w:rsidRDefault="00261377" w:rsidP="00DD6D68">
            <w:pPr>
              <w:jc w:val="center"/>
              <w:rPr>
                <w:sz w:val="18"/>
                <w:szCs w:val="18"/>
              </w:rPr>
            </w:pPr>
            <w:r>
              <w:rPr>
                <w:rFonts w:ascii="Cambria" w:hAnsi="Cambria"/>
                <w:sz w:val="18"/>
                <w:szCs w:val="18"/>
              </w:rPr>
              <w:t>≥ L</w:t>
            </w:r>
          </w:p>
        </w:tc>
        <w:tc>
          <w:tcPr>
            <w:tcW w:w="1110" w:type="dxa"/>
            <w:tcBorders>
              <w:bottom w:val="single" w:sz="18" w:space="0" w:color="auto"/>
            </w:tcBorders>
            <w:vAlign w:val="center"/>
          </w:tcPr>
          <w:p w14:paraId="1C436B5D" w14:textId="0B77C788" w:rsidR="00B066A5" w:rsidRPr="00975A29" w:rsidRDefault="00B066A5" w:rsidP="00DD6D68">
            <w:pPr>
              <w:jc w:val="center"/>
              <w:rPr>
                <w:sz w:val="18"/>
                <w:szCs w:val="18"/>
              </w:rPr>
            </w:pPr>
            <w:r w:rsidRPr="00B066A5">
              <w:rPr>
                <w:sz w:val="16"/>
                <w:szCs w:val="16"/>
              </w:rPr>
              <w:t>Advanced</w:t>
            </w:r>
          </w:p>
        </w:tc>
        <w:tc>
          <w:tcPr>
            <w:tcW w:w="990" w:type="dxa"/>
            <w:tcBorders>
              <w:bottom w:val="single" w:sz="18" w:space="0" w:color="auto"/>
            </w:tcBorders>
            <w:vAlign w:val="center"/>
          </w:tcPr>
          <w:p w14:paraId="10ABF4C8" w14:textId="460B7458" w:rsidR="00B066A5" w:rsidRPr="00975A29" w:rsidRDefault="00C41FED" w:rsidP="00DD6D68">
            <w:pPr>
              <w:jc w:val="center"/>
              <w:rPr>
                <w:sz w:val="18"/>
                <w:szCs w:val="18"/>
              </w:rPr>
            </w:pPr>
            <w:r>
              <w:rPr>
                <w:rFonts w:ascii="Cambria" w:hAnsi="Cambria"/>
                <w:sz w:val="18"/>
                <w:szCs w:val="18"/>
              </w:rPr>
              <w:t xml:space="preserve">≥ </w:t>
            </w:r>
            <w:r w:rsidR="00B066A5" w:rsidRPr="00975A29">
              <w:rPr>
                <w:sz w:val="18"/>
                <w:szCs w:val="18"/>
              </w:rPr>
              <w:t>28</w:t>
            </w:r>
          </w:p>
        </w:tc>
        <w:tc>
          <w:tcPr>
            <w:tcW w:w="1170" w:type="dxa"/>
            <w:tcBorders>
              <w:bottom w:val="single" w:sz="18" w:space="0" w:color="auto"/>
            </w:tcBorders>
            <w:vAlign w:val="center"/>
          </w:tcPr>
          <w:p w14:paraId="12288D86" w14:textId="7BC8DA1E" w:rsidR="00B066A5" w:rsidRPr="00975A29" w:rsidRDefault="005A3087" w:rsidP="00DD6D68">
            <w:pPr>
              <w:jc w:val="center"/>
              <w:rPr>
                <w:sz w:val="18"/>
                <w:szCs w:val="18"/>
              </w:rPr>
            </w:pPr>
            <w:r>
              <w:rPr>
                <w:rFonts w:ascii="Cambria" w:hAnsi="Cambria"/>
                <w:sz w:val="18"/>
                <w:szCs w:val="18"/>
              </w:rPr>
              <w:t xml:space="preserve">≥ </w:t>
            </w:r>
            <w:r>
              <w:rPr>
                <w:sz w:val="18"/>
                <w:szCs w:val="18"/>
              </w:rPr>
              <w:t>M</w:t>
            </w:r>
          </w:p>
        </w:tc>
      </w:tr>
      <w:tr w:rsidR="0033717F" w:rsidRPr="00410F33" w14:paraId="0AB4F227" w14:textId="6AAB7088" w:rsidTr="00E50D0A">
        <w:tc>
          <w:tcPr>
            <w:tcW w:w="540" w:type="dxa"/>
            <w:vMerge w:val="restart"/>
            <w:tcBorders>
              <w:top w:val="single" w:sz="18" w:space="0" w:color="auto"/>
            </w:tcBorders>
            <w:vAlign w:val="center"/>
          </w:tcPr>
          <w:p w14:paraId="35512597" w14:textId="00DF14C6" w:rsidR="0033717F" w:rsidRPr="00253B36" w:rsidRDefault="0033717F" w:rsidP="00253B36">
            <w:pPr>
              <w:jc w:val="center"/>
              <w:rPr>
                <w:b/>
                <w:sz w:val="22"/>
                <w:szCs w:val="22"/>
              </w:rPr>
            </w:pPr>
            <w:r w:rsidRPr="00253B36">
              <w:rPr>
                <w:b/>
                <w:sz w:val="22"/>
                <w:szCs w:val="22"/>
              </w:rPr>
              <w:t>2</w:t>
            </w:r>
          </w:p>
        </w:tc>
        <w:tc>
          <w:tcPr>
            <w:tcW w:w="1170" w:type="dxa"/>
            <w:tcBorders>
              <w:top w:val="single" w:sz="18" w:space="0" w:color="auto"/>
            </w:tcBorders>
            <w:vAlign w:val="center"/>
          </w:tcPr>
          <w:p w14:paraId="051BD299" w14:textId="7E31DA7D" w:rsidR="0033717F" w:rsidRPr="00B066A5" w:rsidRDefault="0033717F" w:rsidP="00DD6D68">
            <w:pPr>
              <w:jc w:val="center"/>
              <w:rPr>
                <w:sz w:val="16"/>
                <w:szCs w:val="16"/>
              </w:rPr>
            </w:pPr>
            <w:r w:rsidRPr="00B066A5">
              <w:rPr>
                <w:sz w:val="16"/>
                <w:szCs w:val="16"/>
              </w:rPr>
              <w:t>Substantially Deficient</w:t>
            </w:r>
          </w:p>
        </w:tc>
        <w:tc>
          <w:tcPr>
            <w:tcW w:w="900" w:type="dxa"/>
            <w:tcBorders>
              <w:top w:val="single" w:sz="18" w:space="0" w:color="auto"/>
            </w:tcBorders>
            <w:vAlign w:val="center"/>
          </w:tcPr>
          <w:p w14:paraId="2036DB86" w14:textId="0D1EBB7F" w:rsidR="0033717F" w:rsidRPr="00975A29" w:rsidRDefault="0033717F" w:rsidP="00DD6D68">
            <w:pPr>
              <w:jc w:val="center"/>
              <w:rPr>
                <w:sz w:val="18"/>
                <w:szCs w:val="18"/>
              </w:rPr>
            </w:pPr>
            <w:r w:rsidRPr="00975A29">
              <w:rPr>
                <w:rFonts w:ascii="Cambria" w:hAnsi="Cambria"/>
                <w:sz w:val="18"/>
                <w:szCs w:val="18"/>
              </w:rPr>
              <w:t xml:space="preserve">≤ </w:t>
            </w:r>
            <w:r w:rsidRPr="00975A29">
              <w:rPr>
                <w:sz w:val="18"/>
                <w:szCs w:val="18"/>
              </w:rPr>
              <w:t>10</w:t>
            </w:r>
          </w:p>
        </w:tc>
        <w:tc>
          <w:tcPr>
            <w:tcW w:w="1200" w:type="dxa"/>
            <w:tcBorders>
              <w:top w:val="single" w:sz="18" w:space="0" w:color="auto"/>
            </w:tcBorders>
            <w:vAlign w:val="center"/>
          </w:tcPr>
          <w:p w14:paraId="00254F5D" w14:textId="34C5B78C" w:rsidR="0033717F" w:rsidRPr="00975A29" w:rsidRDefault="00E97461" w:rsidP="00DD6D68">
            <w:pPr>
              <w:jc w:val="center"/>
              <w:rPr>
                <w:sz w:val="18"/>
                <w:szCs w:val="18"/>
              </w:rPr>
            </w:pPr>
            <w:r w:rsidRPr="00975A29">
              <w:rPr>
                <w:rFonts w:ascii="Cambria" w:hAnsi="Cambria"/>
                <w:sz w:val="18"/>
                <w:szCs w:val="18"/>
              </w:rPr>
              <w:t xml:space="preserve">≤ </w:t>
            </w:r>
            <w:r>
              <w:rPr>
                <w:sz w:val="18"/>
                <w:szCs w:val="18"/>
              </w:rPr>
              <w:t>F</w:t>
            </w:r>
          </w:p>
        </w:tc>
        <w:tc>
          <w:tcPr>
            <w:tcW w:w="1140" w:type="dxa"/>
            <w:tcBorders>
              <w:top w:val="single" w:sz="18" w:space="0" w:color="auto"/>
            </w:tcBorders>
            <w:shd w:val="clear" w:color="auto" w:fill="D9D9D9"/>
            <w:vAlign w:val="center"/>
          </w:tcPr>
          <w:p w14:paraId="176AE8AA" w14:textId="4EAB322D" w:rsidR="0033717F" w:rsidRPr="00975A29" w:rsidRDefault="0033717F"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50436939" w14:textId="5C74B252" w:rsidR="0033717F" w:rsidRPr="00975A29" w:rsidRDefault="0033717F" w:rsidP="00DD6D68">
            <w:pPr>
              <w:jc w:val="center"/>
              <w:rPr>
                <w:sz w:val="18"/>
                <w:szCs w:val="18"/>
              </w:rPr>
            </w:pPr>
            <w:r w:rsidRPr="00975A29">
              <w:rPr>
                <w:rFonts w:ascii="Cambria" w:hAnsi="Cambria"/>
                <w:sz w:val="18"/>
                <w:szCs w:val="18"/>
              </w:rPr>
              <w:t>≤</w:t>
            </w:r>
            <w:r w:rsidRPr="00975A29">
              <w:rPr>
                <w:sz w:val="18"/>
                <w:szCs w:val="18"/>
              </w:rPr>
              <w:t xml:space="preserve"> 14</w:t>
            </w:r>
          </w:p>
        </w:tc>
        <w:tc>
          <w:tcPr>
            <w:tcW w:w="1123" w:type="dxa"/>
            <w:tcBorders>
              <w:top w:val="single" w:sz="18" w:space="0" w:color="auto"/>
            </w:tcBorders>
            <w:shd w:val="clear" w:color="auto" w:fill="D9D9D9"/>
            <w:vAlign w:val="center"/>
          </w:tcPr>
          <w:p w14:paraId="7524D0F6" w14:textId="153C6926" w:rsidR="0033717F" w:rsidRPr="00975A29" w:rsidRDefault="00E97461" w:rsidP="00DD6D68">
            <w:pPr>
              <w:jc w:val="center"/>
              <w:rPr>
                <w:sz w:val="18"/>
                <w:szCs w:val="18"/>
              </w:rPr>
            </w:pPr>
            <w:r w:rsidRPr="00975A29">
              <w:rPr>
                <w:rFonts w:ascii="Cambria" w:hAnsi="Cambria"/>
                <w:sz w:val="18"/>
                <w:szCs w:val="18"/>
              </w:rPr>
              <w:t>≤</w:t>
            </w:r>
            <w:r>
              <w:rPr>
                <w:sz w:val="18"/>
                <w:szCs w:val="18"/>
              </w:rPr>
              <w:t xml:space="preserve"> H</w:t>
            </w:r>
          </w:p>
        </w:tc>
        <w:tc>
          <w:tcPr>
            <w:tcW w:w="1110" w:type="dxa"/>
            <w:tcBorders>
              <w:top w:val="single" w:sz="18" w:space="0" w:color="auto"/>
            </w:tcBorders>
            <w:vAlign w:val="center"/>
          </w:tcPr>
          <w:p w14:paraId="7B6C7442" w14:textId="326CE61B" w:rsidR="0033717F" w:rsidRPr="00975A29" w:rsidRDefault="0033717F"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3A662DCE" w14:textId="65DF8DB2" w:rsidR="0033717F" w:rsidRPr="00975A29" w:rsidRDefault="0033717F" w:rsidP="00DD6D68">
            <w:pPr>
              <w:jc w:val="center"/>
              <w:rPr>
                <w:sz w:val="18"/>
                <w:szCs w:val="18"/>
              </w:rPr>
            </w:pPr>
            <w:r w:rsidRPr="00975A29">
              <w:rPr>
                <w:rFonts w:ascii="Cambria" w:hAnsi="Cambria"/>
                <w:sz w:val="18"/>
                <w:szCs w:val="18"/>
              </w:rPr>
              <w:t>≤</w:t>
            </w:r>
            <w:r w:rsidRPr="00975A29">
              <w:rPr>
                <w:sz w:val="18"/>
                <w:szCs w:val="18"/>
              </w:rPr>
              <w:t xml:space="preserve"> 1</w:t>
            </w:r>
            <w:r>
              <w:rPr>
                <w:sz w:val="18"/>
                <w:szCs w:val="18"/>
              </w:rPr>
              <w:t>8</w:t>
            </w:r>
          </w:p>
        </w:tc>
        <w:tc>
          <w:tcPr>
            <w:tcW w:w="1170" w:type="dxa"/>
            <w:tcBorders>
              <w:top w:val="single" w:sz="18" w:space="0" w:color="auto"/>
            </w:tcBorders>
            <w:vAlign w:val="center"/>
          </w:tcPr>
          <w:p w14:paraId="4E0912CF" w14:textId="518FFDE2" w:rsidR="0033717F" w:rsidRPr="00975A29" w:rsidRDefault="00E61F90" w:rsidP="00DD6D68">
            <w:pPr>
              <w:jc w:val="center"/>
              <w:rPr>
                <w:sz w:val="18"/>
                <w:szCs w:val="18"/>
              </w:rPr>
            </w:pPr>
            <w:r w:rsidRPr="00975A29">
              <w:rPr>
                <w:rFonts w:ascii="Cambria" w:hAnsi="Cambria"/>
                <w:sz w:val="18"/>
                <w:szCs w:val="18"/>
              </w:rPr>
              <w:t>≤</w:t>
            </w:r>
            <w:r>
              <w:rPr>
                <w:sz w:val="18"/>
                <w:szCs w:val="18"/>
              </w:rPr>
              <w:t xml:space="preserve"> J</w:t>
            </w:r>
          </w:p>
        </w:tc>
      </w:tr>
      <w:tr w:rsidR="00B066A5" w:rsidRPr="00410F33" w14:paraId="576A5077" w14:textId="5F1C0101" w:rsidTr="00E50D0A">
        <w:tc>
          <w:tcPr>
            <w:tcW w:w="540" w:type="dxa"/>
            <w:vMerge/>
            <w:vAlign w:val="bottom"/>
          </w:tcPr>
          <w:p w14:paraId="5ABA847A" w14:textId="77777777" w:rsidR="00B066A5" w:rsidRPr="00410F33" w:rsidRDefault="00B066A5" w:rsidP="00DD6D68">
            <w:pPr>
              <w:jc w:val="center"/>
              <w:rPr>
                <w:sz w:val="22"/>
                <w:szCs w:val="22"/>
              </w:rPr>
            </w:pPr>
          </w:p>
        </w:tc>
        <w:tc>
          <w:tcPr>
            <w:tcW w:w="1170" w:type="dxa"/>
            <w:vAlign w:val="center"/>
          </w:tcPr>
          <w:p w14:paraId="40793302" w14:textId="1B2BC0D2" w:rsidR="00B066A5" w:rsidRPr="00B066A5" w:rsidRDefault="00B066A5" w:rsidP="00DD6D68">
            <w:pPr>
              <w:jc w:val="center"/>
              <w:rPr>
                <w:sz w:val="16"/>
                <w:szCs w:val="16"/>
              </w:rPr>
            </w:pPr>
            <w:r w:rsidRPr="00B066A5">
              <w:rPr>
                <w:sz w:val="16"/>
                <w:szCs w:val="16"/>
              </w:rPr>
              <w:t>Partially Proficient</w:t>
            </w:r>
          </w:p>
        </w:tc>
        <w:tc>
          <w:tcPr>
            <w:tcW w:w="900" w:type="dxa"/>
            <w:vAlign w:val="center"/>
          </w:tcPr>
          <w:p w14:paraId="79E7B464" w14:textId="69309B01" w:rsidR="00B066A5" w:rsidRPr="00975A29" w:rsidRDefault="00E97461" w:rsidP="00DD6D68">
            <w:pPr>
              <w:jc w:val="center"/>
              <w:rPr>
                <w:sz w:val="18"/>
                <w:szCs w:val="18"/>
              </w:rPr>
            </w:pPr>
            <w:r>
              <w:rPr>
                <w:sz w:val="18"/>
                <w:szCs w:val="18"/>
              </w:rPr>
              <w:t>12-16</w:t>
            </w:r>
          </w:p>
        </w:tc>
        <w:tc>
          <w:tcPr>
            <w:tcW w:w="1200" w:type="dxa"/>
            <w:vAlign w:val="center"/>
          </w:tcPr>
          <w:p w14:paraId="2F402F83" w14:textId="298B905B" w:rsidR="00B066A5" w:rsidRPr="00975A29" w:rsidRDefault="00E97461" w:rsidP="00DD6D68">
            <w:pPr>
              <w:jc w:val="center"/>
              <w:rPr>
                <w:sz w:val="18"/>
                <w:szCs w:val="18"/>
              </w:rPr>
            </w:pPr>
            <w:r>
              <w:rPr>
                <w:sz w:val="18"/>
                <w:szCs w:val="18"/>
              </w:rPr>
              <w:t>G-I</w:t>
            </w:r>
          </w:p>
        </w:tc>
        <w:tc>
          <w:tcPr>
            <w:tcW w:w="1140" w:type="dxa"/>
            <w:shd w:val="clear" w:color="auto" w:fill="D9D9D9"/>
            <w:vAlign w:val="center"/>
          </w:tcPr>
          <w:p w14:paraId="04A6A2C8" w14:textId="0A4E5A20" w:rsidR="00B066A5" w:rsidRPr="00975A29"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30251621" w14:textId="65D47C1F" w:rsidR="00B066A5" w:rsidRPr="00975A29" w:rsidRDefault="00B066A5" w:rsidP="00B066A5">
            <w:pPr>
              <w:jc w:val="center"/>
              <w:rPr>
                <w:sz w:val="18"/>
                <w:szCs w:val="18"/>
              </w:rPr>
            </w:pPr>
            <w:r w:rsidRPr="00975A29">
              <w:rPr>
                <w:sz w:val="18"/>
                <w:szCs w:val="18"/>
              </w:rPr>
              <w:t>16-</w:t>
            </w:r>
            <w:r>
              <w:rPr>
                <w:sz w:val="18"/>
                <w:szCs w:val="18"/>
              </w:rPr>
              <w:t>20</w:t>
            </w:r>
          </w:p>
        </w:tc>
        <w:tc>
          <w:tcPr>
            <w:tcW w:w="1123" w:type="dxa"/>
            <w:shd w:val="clear" w:color="auto" w:fill="D9D9D9"/>
            <w:vAlign w:val="center"/>
          </w:tcPr>
          <w:p w14:paraId="7B1C2EC8" w14:textId="484D629D" w:rsidR="00B066A5" w:rsidRPr="00975A29" w:rsidRDefault="00E97461" w:rsidP="00DD6D68">
            <w:pPr>
              <w:jc w:val="center"/>
              <w:rPr>
                <w:sz w:val="18"/>
                <w:szCs w:val="18"/>
              </w:rPr>
            </w:pPr>
            <w:r>
              <w:rPr>
                <w:sz w:val="18"/>
                <w:szCs w:val="18"/>
              </w:rPr>
              <w:t>I-K</w:t>
            </w:r>
          </w:p>
        </w:tc>
        <w:tc>
          <w:tcPr>
            <w:tcW w:w="1110" w:type="dxa"/>
            <w:vAlign w:val="center"/>
          </w:tcPr>
          <w:p w14:paraId="07BF77F9" w14:textId="76FBA3B1" w:rsidR="00B066A5" w:rsidRPr="00975A29" w:rsidRDefault="00B066A5" w:rsidP="00DD6D68">
            <w:pPr>
              <w:jc w:val="center"/>
              <w:rPr>
                <w:sz w:val="18"/>
                <w:szCs w:val="18"/>
              </w:rPr>
            </w:pPr>
            <w:r w:rsidRPr="00B066A5">
              <w:rPr>
                <w:sz w:val="16"/>
                <w:szCs w:val="16"/>
              </w:rPr>
              <w:t>Partially Proficient</w:t>
            </w:r>
          </w:p>
        </w:tc>
        <w:tc>
          <w:tcPr>
            <w:tcW w:w="990" w:type="dxa"/>
            <w:vAlign w:val="center"/>
          </w:tcPr>
          <w:p w14:paraId="66819046" w14:textId="0888686E" w:rsidR="00B066A5" w:rsidRPr="00975A29" w:rsidRDefault="00E61F90" w:rsidP="00DD6D68">
            <w:pPr>
              <w:jc w:val="center"/>
              <w:rPr>
                <w:sz w:val="18"/>
                <w:szCs w:val="18"/>
              </w:rPr>
            </w:pPr>
            <w:r>
              <w:rPr>
                <w:sz w:val="18"/>
                <w:szCs w:val="18"/>
              </w:rPr>
              <w:t>20</w:t>
            </w:r>
            <w:r w:rsidR="00B066A5" w:rsidRPr="00975A29">
              <w:rPr>
                <w:sz w:val="18"/>
                <w:szCs w:val="18"/>
              </w:rPr>
              <w:t>-24</w:t>
            </w:r>
          </w:p>
        </w:tc>
        <w:tc>
          <w:tcPr>
            <w:tcW w:w="1170" w:type="dxa"/>
            <w:vAlign w:val="center"/>
          </w:tcPr>
          <w:p w14:paraId="505F62D2" w14:textId="4834A523" w:rsidR="00B066A5" w:rsidRPr="00975A29" w:rsidRDefault="00E61F90" w:rsidP="00DD6D68">
            <w:pPr>
              <w:jc w:val="center"/>
              <w:rPr>
                <w:sz w:val="18"/>
                <w:szCs w:val="18"/>
              </w:rPr>
            </w:pPr>
            <w:r>
              <w:rPr>
                <w:sz w:val="18"/>
                <w:szCs w:val="18"/>
              </w:rPr>
              <w:t>K</w:t>
            </w:r>
            <w:r w:rsidR="00B066A5" w:rsidRPr="00975A29">
              <w:rPr>
                <w:sz w:val="18"/>
                <w:szCs w:val="18"/>
              </w:rPr>
              <w:t>-L</w:t>
            </w:r>
          </w:p>
        </w:tc>
      </w:tr>
      <w:tr w:rsidR="00B066A5" w:rsidRPr="00410F33" w14:paraId="73DAE45F" w14:textId="11650822" w:rsidTr="00E50D0A">
        <w:tc>
          <w:tcPr>
            <w:tcW w:w="540" w:type="dxa"/>
            <w:vMerge/>
            <w:vAlign w:val="bottom"/>
          </w:tcPr>
          <w:p w14:paraId="249DCA3C" w14:textId="77777777" w:rsidR="00B066A5" w:rsidRPr="00410F33" w:rsidRDefault="00B066A5" w:rsidP="00DD6D68">
            <w:pPr>
              <w:jc w:val="center"/>
              <w:rPr>
                <w:sz w:val="22"/>
                <w:szCs w:val="22"/>
              </w:rPr>
            </w:pPr>
          </w:p>
        </w:tc>
        <w:tc>
          <w:tcPr>
            <w:tcW w:w="1170" w:type="dxa"/>
            <w:vAlign w:val="center"/>
          </w:tcPr>
          <w:p w14:paraId="546433F1" w14:textId="7890F50E" w:rsidR="00B066A5" w:rsidRPr="00B066A5" w:rsidRDefault="00B066A5" w:rsidP="00DD6D68">
            <w:pPr>
              <w:jc w:val="center"/>
              <w:rPr>
                <w:sz w:val="16"/>
                <w:szCs w:val="16"/>
              </w:rPr>
            </w:pPr>
            <w:r w:rsidRPr="00B066A5">
              <w:rPr>
                <w:sz w:val="16"/>
                <w:szCs w:val="16"/>
              </w:rPr>
              <w:t>Proficient</w:t>
            </w:r>
          </w:p>
        </w:tc>
        <w:tc>
          <w:tcPr>
            <w:tcW w:w="900" w:type="dxa"/>
            <w:vAlign w:val="center"/>
          </w:tcPr>
          <w:p w14:paraId="618E21FF" w14:textId="794FB918" w:rsidR="00B066A5" w:rsidRPr="00975A29" w:rsidRDefault="00271E60" w:rsidP="00DD6D68">
            <w:pPr>
              <w:jc w:val="center"/>
              <w:rPr>
                <w:sz w:val="18"/>
                <w:szCs w:val="18"/>
              </w:rPr>
            </w:pPr>
            <w:r>
              <w:rPr>
                <w:sz w:val="18"/>
                <w:szCs w:val="18"/>
              </w:rPr>
              <w:t>18</w:t>
            </w:r>
            <w:r w:rsidR="00E97461">
              <w:rPr>
                <w:sz w:val="18"/>
                <w:szCs w:val="18"/>
              </w:rPr>
              <w:t>-30</w:t>
            </w:r>
          </w:p>
        </w:tc>
        <w:tc>
          <w:tcPr>
            <w:tcW w:w="1200" w:type="dxa"/>
            <w:vAlign w:val="center"/>
          </w:tcPr>
          <w:p w14:paraId="5BF9A47F" w14:textId="77C776FF" w:rsidR="00B066A5" w:rsidRPr="00975A29" w:rsidRDefault="00E97461" w:rsidP="00DD6D68">
            <w:pPr>
              <w:jc w:val="center"/>
              <w:rPr>
                <w:sz w:val="18"/>
                <w:szCs w:val="18"/>
              </w:rPr>
            </w:pPr>
            <w:r>
              <w:rPr>
                <w:sz w:val="18"/>
                <w:szCs w:val="18"/>
              </w:rPr>
              <w:t>J-N</w:t>
            </w:r>
          </w:p>
        </w:tc>
        <w:tc>
          <w:tcPr>
            <w:tcW w:w="1140" w:type="dxa"/>
            <w:shd w:val="clear" w:color="auto" w:fill="D9D9D9"/>
            <w:vAlign w:val="center"/>
          </w:tcPr>
          <w:p w14:paraId="23297DB8" w14:textId="1E64EDD2" w:rsidR="00B066A5" w:rsidRPr="00975A29"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0FF076A9" w14:textId="46A1CBE4" w:rsidR="00B066A5" w:rsidRPr="00975A29" w:rsidRDefault="00C053C7" w:rsidP="00DD6D68">
            <w:pPr>
              <w:jc w:val="center"/>
              <w:rPr>
                <w:sz w:val="18"/>
                <w:szCs w:val="18"/>
              </w:rPr>
            </w:pPr>
            <w:r>
              <w:rPr>
                <w:sz w:val="18"/>
                <w:szCs w:val="18"/>
              </w:rPr>
              <w:t>24-30</w:t>
            </w:r>
          </w:p>
        </w:tc>
        <w:tc>
          <w:tcPr>
            <w:tcW w:w="1123" w:type="dxa"/>
            <w:shd w:val="clear" w:color="auto" w:fill="D9D9D9"/>
            <w:vAlign w:val="center"/>
          </w:tcPr>
          <w:p w14:paraId="1DCCC405" w14:textId="51FF7133" w:rsidR="00B066A5" w:rsidRPr="00975A29" w:rsidRDefault="00E97461" w:rsidP="00DD6D68">
            <w:pPr>
              <w:jc w:val="center"/>
              <w:rPr>
                <w:sz w:val="18"/>
                <w:szCs w:val="18"/>
              </w:rPr>
            </w:pPr>
            <w:r>
              <w:rPr>
                <w:sz w:val="18"/>
                <w:szCs w:val="18"/>
              </w:rPr>
              <w:t>L-</w:t>
            </w:r>
            <w:r w:rsidR="00C053C7">
              <w:rPr>
                <w:sz w:val="18"/>
                <w:szCs w:val="18"/>
              </w:rPr>
              <w:t>N</w:t>
            </w:r>
          </w:p>
        </w:tc>
        <w:tc>
          <w:tcPr>
            <w:tcW w:w="1110" w:type="dxa"/>
            <w:vAlign w:val="center"/>
          </w:tcPr>
          <w:p w14:paraId="09C8B52B" w14:textId="2760A2FE" w:rsidR="00B066A5" w:rsidRPr="00975A29" w:rsidRDefault="00B066A5" w:rsidP="00DD6D68">
            <w:pPr>
              <w:jc w:val="center"/>
              <w:rPr>
                <w:sz w:val="18"/>
                <w:szCs w:val="18"/>
              </w:rPr>
            </w:pPr>
            <w:r w:rsidRPr="00B066A5">
              <w:rPr>
                <w:sz w:val="16"/>
                <w:szCs w:val="16"/>
              </w:rPr>
              <w:t>Proficient</w:t>
            </w:r>
          </w:p>
        </w:tc>
        <w:tc>
          <w:tcPr>
            <w:tcW w:w="990" w:type="dxa"/>
            <w:vAlign w:val="center"/>
          </w:tcPr>
          <w:p w14:paraId="55C4C820" w14:textId="79C702BF" w:rsidR="00B066A5" w:rsidRPr="00975A29" w:rsidRDefault="00C41FED" w:rsidP="00DD6D68">
            <w:pPr>
              <w:jc w:val="center"/>
              <w:rPr>
                <w:sz w:val="18"/>
                <w:szCs w:val="18"/>
              </w:rPr>
            </w:pPr>
            <w:r>
              <w:rPr>
                <w:sz w:val="18"/>
                <w:szCs w:val="18"/>
              </w:rPr>
              <w:t>28</w:t>
            </w:r>
            <w:r w:rsidR="00B066A5">
              <w:rPr>
                <w:sz w:val="18"/>
                <w:szCs w:val="18"/>
              </w:rPr>
              <w:t>-</w:t>
            </w:r>
            <w:r w:rsidR="000C4D91">
              <w:rPr>
                <w:sz w:val="18"/>
                <w:szCs w:val="18"/>
              </w:rPr>
              <w:t>34</w:t>
            </w:r>
          </w:p>
        </w:tc>
        <w:tc>
          <w:tcPr>
            <w:tcW w:w="1170" w:type="dxa"/>
            <w:vAlign w:val="center"/>
          </w:tcPr>
          <w:p w14:paraId="6BF5ADE8" w14:textId="1DF4EAE7" w:rsidR="00B066A5" w:rsidRPr="00975A29" w:rsidRDefault="00B066A5" w:rsidP="00DD6D68">
            <w:pPr>
              <w:jc w:val="center"/>
              <w:rPr>
                <w:sz w:val="18"/>
                <w:szCs w:val="18"/>
              </w:rPr>
            </w:pPr>
            <w:r w:rsidRPr="00975A29">
              <w:rPr>
                <w:sz w:val="18"/>
                <w:szCs w:val="18"/>
              </w:rPr>
              <w:t>M-O</w:t>
            </w:r>
          </w:p>
        </w:tc>
      </w:tr>
      <w:tr w:rsidR="00B066A5" w:rsidRPr="00410F33" w14:paraId="2017A382" w14:textId="79B8CADC" w:rsidTr="00E50D0A">
        <w:tc>
          <w:tcPr>
            <w:tcW w:w="540" w:type="dxa"/>
            <w:vMerge/>
            <w:tcBorders>
              <w:bottom w:val="single" w:sz="18" w:space="0" w:color="auto"/>
            </w:tcBorders>
            <w:vAlign w:val="bottom"/>
          </w:tcPr>
          <w:p w14:paraId="2F7801BB" w14:textId="77777777" w:rsidR="00B066A5" w:rsidRPr="00410F33" w:rsidRDefault="00B066A5" w:rsidP="00DD6D68">
            <w:pPr>
              <w:jc w:val="center"/>
              <w:rPr>
                <w:sz w:val="22"/>
                <w:szCs w:val="22"/>
              </w:rPr>
            </w:pPr>
          </w:p>
        </w:tc>
        <w:tc>
          <w:tcPr>
            <w:tcW w:w="1170" w:type="dxa"/>
            <w:tcBorders>
              <w:bottom w:val="single" w:sz="18" w:space="0" w:color="auto"/>
            </w:tcBorders>
            <w:vAlign w:val="center"/>
          </w:tcPr>
          <w:p w14:paraId="29E72818" w14:textId="6C15FFD6" w:rsidR="00B066A5" w:rsidRPr="00B066A5" w:rsidRDefault="00B066A5" w:rsidP="00DD6D68">
            <w:pPr>
              <w:jc w:val="center"/>
              <w:rPr>
                <w:sz w:val="16"/>
                <w:szCs w:val="16"/>
              </w:rPr>
            </w:pPr>
            <w:r w:rsidRPr="00B066A5">
              <w:rPr>
                <w:sz w:val="16"/>
                <w:szCs w:val="16"/>
              </w:rPr>
              <w:t>Advanced</w:t>
            </w:r>
          </w:p>
        </w:tc>
        <w:tc>
          <w:tcPr>
            <w:tcW w:w="900" w:type="dxa"/>
            <w:tcBorders>
              <w:bottom w:val="single" w:sz="18" w:space="0" w:color="auto"/>
            </w:tcBorders>
            <w:vAlign w:val="center"/>
          </w:tcPr>
          <w:p w14:paraId="12093AA9" w14:textId="177E0FA0" w:rsidR="00B066A5" w:rsidRPr="00975A29" w:rsidRDefault="006A0F2B" w:rsidP="00DD6D68">
            <w:pPr>
              <w:jc w:val="center"/>
              <w:rPr>
                <w:sz w:val="18"/>
                <w:szCs w:val="18"/>
              </w:rPr>
            </w:pPr>
            <w:r>
              <w:rPr>
                <w:rFonts w:ascii="Cambria" w:hAnsi="Cambria"/>
                <w:sz w:val="18"/>
                <w:szCs w:val="18"/>
              </w:rPr>
              <w:t>≥ 34</w:t>
            </w:r>
          </w:p>
        </w:tc>
        <w:tc>
          <w:tcPr>
            <w:tcW w:w="1200" w:type="dxa"/>
            <w:tcBorders>
              <w:bottom w:val="single" w:sz="18" w:space="0" w:color="auto"/>
            </w:tcBorders>
            <w:vAlign w:val="center"/>
          </w:tcPr>
          <w:p w14:paraId="4C8EE177" w14:textId="6FA07292" w:rsidR="00B066A5" w:rsidRPr="00975A29" w:rsidRDefault="00C053C7" w:rsidP="00E97461">
            <w:pPr>
              <w:jc w:val="center"/>
              <w:rPr>
                <w:sz w:val="18"/>
                <w:szCs w:val="18"/>
              </w:rPr>
            </w:pPr>
            <w:r>
              <w:rPr>
                <w:rFonts w:ascii="Cambria" w:hAnsi="Cambria"/>
                <w:sz w:val="18"/>
                <w:szCs w:val="18"/>
              </w:rPr>
              <w:t xml:space="preserve">≥ </w:t>
            </w:r>
            <w:r w:rsidR="00E97461">
              <w:rPr>
                <w:sz w:val="18"/>
                <w:szCs w:val="18"/>
              </w:rPr>
              <w:t>O</w:t>
            </w:r>
          </w:p>
        </w:tc>
        <w:tc>
          <w:tcPr>
            <w:tcW w:w="1140" w:type="dxa"/>
            <w:tcBorders>
              <w:bottom w:val="single" w:sz="18" w:space="0" w:color="auto"/>
            </w:tcBorders>
            <w:shd w:val="clear" w:color="auto" w:fill="D9D9D9"/>
            <w:vAlign w:val="center"/>
          </w:tcPr>
          <w:p w14:paraId="23F9ED4C" w14:textId="3C13E1C6" w:rsidR="00B066A5" w:rsidRPr="00975A29" w:rsidRDefault="00B066A5" w:rsidP="00DD6D68">
            <w:pPr>
              <w:jc w:val="center"/>
              <w:rPr>
                <w:sz w:val="18"/>
                <w:szCs w:val="18"/>
              </w:rPr>
            </w:pPr>
            <w:r w:rsidRPr="00B066A5">
              <w:rPr>
                <w:sz w:val="16"/>
                <w:szCs w:val="16"/>
              </w:rPr>
              <w:t>Advanced</w:t>
            </w:r>
          </w:p>
        </w:tc>
        <w:tc>
          <w:tcPr>
            <w:tcW w:w="1007" w:type="dxa"/>
            <w:tcBorders>
              <w:bottom w:val="single" w:sz="18" w:space="0" w:color="auto"/>
            </w:tcBorders>
            <w:shd w:val="clear" w:color="auto" w:fill="D9D9D9"/>
            <w:vAlign w:val="center"/>
          </w:tcPr>
          <w:p w14:paraId="3BC3806C" w14:textId="6705BF28" w:rsidR="00B066A5" w:rsidRPr="00975A29" w:rsidRDefault="00E97461" w:rsidP="00DD6D68">
            <w:pPr>
              <w:jc w:val="center"/>
              <w:rPr>
                <w:sz w:val="18"/>
                <w:szCs w:val="18"/>
              </w:rPr>
            </w:pPr>
            <w:r>
              <w:rPr>
                <w:rFonts w:ascii="Cambria" w:hAnsi="Cambria"/>
                <w:sz w:val="18"/>
                <w:szCs w:val="18"/>
              </w:rPr>
              <w:t>≥ 34</w:t>
            </w:r>
          </w:p>
        </w:tc>
        <w:tc>
          <w:tcPr>
            <w:tcW w:w="1123" w:type="dxa"/>
            <w:tcBorders>
              <w:bottom w:val="single" w:sz="18" w:space="0" w:color="auto"/>
            </w:tcBorders>
            <w:shd w:val="clear" w:color="auto" w:fill="D9D9D9"/>
            <w:vAlign w:val="center"/>
          </w:tcPr>
          <w:p w14:paraId="581C40D2" w14:textId="42093598" w:rsidR="00B066A5" w:rsidRPr="00975A29" w:rsidRDefault="00E97461" w:rsidP="00DD6D68">
            <w:pPr>
              <w:jc w:val="center"/>
              <w:rPr>
                <w:sz w:val="18"/>
                <w:szCs w:val="18"/>
              </w:rPr>
            </w:pPr>
            <w:r>
              <w:rPr>
                <w:rFonts w:ascii="Cambria" w:hAnsi="Cambria"/>
                <w:sz w:val="18"/>
                <w:szCs w:val="18"/>
              </w:rPr>
              <w:t>≥ O</w:t>
            </w:r>
          </w:p>
        </w:tc>
        <w:tc>
          <w:tcPr>
            <w:tcW w:w="1110" w:type="dxa"/>
            <w:tcBorders>
              <w:bottom w:val="single" w:sz="18" w:space="0" w:color="auto"/>
            </w:tcBorders>
            <w:vAlign w:val="center"/>
          </w:tcPr>
          <w:p w14:paraId="46114883" w14:textId="294A1ACA" w:rsidR="00B066A5" w:rsidRPr="00975A29" w:rsidRDefault="00B066A5" w:rsidP="00DD6D68">
            <w:pPr>
              <w:jc w:val="center"/>
              <w:rPr>
                <w:sz w:val="18"/>
                <w:szCs w:val="18"/>
              </w:rPr>
            </w:pPr>
            <w:r w:rsidRPr="00B066A5">
              <w:rPr>
                <w:sz w:val="16"/>
                <w:szCs w:val="16"/>
              </w:rPr>
              <w:t>Advanced</w:t>
            </w:r>
          </w:p>
        </w:tc>
        <w:tc>
          <w:tcPr>
            <w:tcW w:w="990" w:type="dxa"/>
            <w:tcBorders>
              <w:bottom w:val="single" w:sz="18" w:space="0" w:color="auto"/>
            </w:tcBorders>
            <w:vAlign w:val="center"/>
          </w:tcPr>
          <w:p w14:paraId="7469A133" w14:textId="113F6C08" w:rsidR="00B066A5" w:rsidRPr="00975A29" w:rsidRDefault="000C4D91" w:rsidP="00DD6D68">
            <w:pPr>
              <w:jc w:val="center"/>
              <w:rPr>
                <w:sz w:val="18"/>
                <w:szCs w:val="18"/>
              </w:rPr>
            </w:pPr>
            <w:r>
              <w:rPr>
                <w:rFonts w:ascii="Cambria" w:hAnsi="Cambria"/>
                <w:sz w:val="18"/>
                <w:szCs w:val="18"/>
              </w:rPr>
              <w:t xml:space="preserve">≥ </w:t>
            </w:r>
            <w:r>
              <w:rPr>
                <w:sz w:val="18"/>
                <w:szCs w:val="18"/>
              </w:rPr>
              <w:t>38</w:t>
            </w:r>
          </w:p>
        </w:tc>
        <w:tc>
          <w:tcPr>
            <w:tcW w:w="1170" w:type="dxa"/>
            <w:tcBorders>
              <w:bottom w:val="single" w:sz="18" w:space="0" w:color="auto"/>
            </w:tcBorders>
            <w:vAlign w:val="center"/>
          </w:tcPr>
          <w:p w14:paraId="414B631E" w14:textId="70E031D8" w:rsidR="00B066A5" w:rsidRPr="00975A29" w:rsidRDefault="00E97461" w:rsidP="00DD6D68">
            <w:pPr>
              <w:jc w:val="center"/>
              <w:rPr>
                <w:sz w:val="18"/>
                <w:szCs w:val="18"/>
              </w:rPr>
            </w:pPr>
            <w:r>
              <w:rPr>
                <w:rFonts w:ascii="Cambria" w:hAnsi="Cambria"/>
                <w:sz w:val="18"/>
                <w:szCs w:val="18"/>
              </w:rPr>
              <w:t xml:space="preserve">≥ </w:t>
            </w:r>
            <w:r>
              <w:rPr>
                <w:sz w:val="18"/>
                <w:szCs w:val="18"/>
              </w:rPr>
              <w:t>P</w:t>
            </w:r>
          </w:p>
        </w:tc>
      </w:tr>
      <w:tr w:rsidR="00B066A5" w:rsidRPr="00410F33" w14:paraId="792D9B5C" w14:textId="77777777" w:rsidTr="00E50D0A">
        <w:tc>
          <w:tcPr>
            <w:tcW w:w="540" w:type="dxa"/>
            <w:vMerge w:val="restart"/>
            <w:tcBorders>
              <w:top w:val="single" w:sz="18" w:space="0" w:color="auto"/>
            </w:tcBorders>
            <w:vAlign w:val="center"/>
          </w:tcPr>
          <w:p w14:paraId="5D81E39E" w14:textId="219CD773" w:rsidR="00B066A5" w:rsidRPr="006D17CA" w:rsidRDefault="00B066A5" w:rsidP="006D17CA">
            <w:pPr>
              <w:jc w:val="center"/>
              <w:rPr>
                <w:b/>
                <w:sz w:val="22"/>
                <w:szCs w:val="22"/>
              </w:rPr>
            </w:pPr>
            <w:r w:rsidRPr="006D17CA">
              <w:rPr>
                <w:b/>
                <w:sz w:val="22"/>
                <w:szCs w:val="22"/>
              </w:rPr>
              <w:t>3</w:t>
            </w:r>
          </w:p>
        </w:tc>
        <w:tc>
          <w:tcPr>
            <w:tcW w:w="1170" w:type="dxa"/>
            <w:tcBorders>
              <w:top w:val="single" w:sz="18" w:space="0" w:color="auto"/>
            </w:tcBorders>
            <w:vAlign w:val="center"/>
          </w:tcPr>
          <w:p w14:paraId="5B06031B" w14:textId="6672B1D2" w:rsidR="00B066A5" w:rsidRPr="00253B36" w:rsidRDefault="00B066A5" w:rsidP="00DD6D68">
            <w:pPr>
              <w:jc w:val="center"/>
              <w:rPr>
                <w:sz w:val="18"/>
                <w:szCs w:val="18"/>
              </w:rPr>
            </w:pPr>
            <w:r w:rsidRPr="00B066A5">
              <w:rPr>
                <w:sz w:val="16"/>
                <w:szCs w:val="16"/>
              </w:rPr>
              <w:t>Substantially Deficient</w:t>
            </w:r>
          </w:p>
        </w:tc>
        <w:tc>
          <w:tcPr>
            <w:tcW w:w="900" w:type="dxa"/>
            <w:tcBorders>
              <w:top w:val="single" w:sz="18" w:space="0" w:color="auto"/>
            </w:tcBorders>
            <w:vAlign w:val="center"/>
          </w:tcPr>
          <w:p w14:paraId="10B2136E" w14:textId="0625BE2B" w:rsidR="00B066A5" w:rsidRPr="00B066A5" w:rsidRDefault="00B066A5" w:rsidP="00DD6D68">
            <w:pPr>
              <w:jc w:val="center"/>
              <w:rPr>
                <w:sz w:val="18"/>
                <w:szCs w:val="18"/>
              </w:rPr>
            </w:pPr>
            <w:r w:rsidRPr="00B066A5">
              <w:rPr>
                <w:rFonts w:ascii="Cambria" w:hAnsi="Cambria"/>
                <w:sz w:val="18"/>
                <w:szCs w:val="18"/>
              </w:rPr>
              <w:t xml:space="preserve">≤ </w:t>
            </w:r>
            <w:r w:rsidRPr="00B066A5">
              <w:rPr>
                <w:sz w:val="18"/>
                <w:szCs w:val="18"/>
              </w:rPr>
              <w:t>18</w:t>
            </w:r>
          </w:p>
        </w:tc>
        <w:tc>
          <w:tcPr>
            <w:tcW w:w="1200" w:type="dxa"/>
            <w:tcBorders>
              <w:top w:val="single" w:sz="18" w:space="0" w:color="auto"/>
            </w:tcBorders>
            <w:vAlign w:val="center"/>
          </w:tcPr>
          <w:p w14:paraId="1AA016AA" w14:textId="10C46A8C" w:rsidR="00B066A5" w:rsidRPr="00B066A5" w:rsidRDefault="008F5BDB" w:rsidP="00DD6D68">
            <w:pPr>
              <w:jc w:val="center"/>
              <w:rPr>
                <w:sz w:val="18"/>
                <w:szCs w:val="18"/>
              </w:rPr>
            </w:pPr>
            <w:r w:rsidRPr="00975A29">
              <w:rPr>
                <w:rFonts w:ascii="Cambria" w:hAnsi="Cambria"/>
                <w:sz w:val="18"/>
                <w:szCs w:val="18"/>
              </w:rPr>
              <w:t>≤</w:t>
            </w:r>
            <w:r>
              <w:rPr>
                <w:sz w:val="18"/>
                <w:szCs w:val="18"/>
              </w:rPr>
              <w:t xml:space="preserve"> J</w:t>
            </w:r>
          </w:p>
        </w:tc>
        <w:tc>
          <w:tcPr>
            <w:tcW w:w="1140" w:type="dxa"/>
            <w:tcBorders>
              <w:top w:val="single" w:sz="18" w:space="0" w:color="auto"/>
            </w:tcBorders>
            <w:shd w:val="clear" w:color="auto" w:fill="D9D9D9"/>
            <w:vAlign w:val="center"/>
          </w:tcPr>
          <w:p w14:paraId="0A9237FA" w14:textId="21A9B437" w:rsidR="00B066A5" w:rsidRPr="00253B36" w:rsidRDefault="00B066A5" w:rsidP="00DD6D68">
            <w:pPr>
              <w:jc w:val="center"/>
              <w:rPr>
                <w:sz w:val="18"/>
                <w:szCs w:val="18"/>
              </w:rPr>
            </w:pPr>
            <w:r w:rsidRPr="00B066A5">
              <w:rPr>
                <w:sz w:val="16"/>
                <w:szCs w:val="16"/>
              </w:rPr>
              <w:t>Substantially Deficient</w:t>
            </w:r>
          </w:p>
        </w:tc>
        <w:tc>
          <w:tcPr>
            <w:tcW w:w="1007" w:type="dxa"/>
            <w:tcBorders>
              <w:top w:val="single" w:sz="18" w:space="0" w:color="auto"/>
            </w:tcBorders>
            <w:shd w:val="clear" w:color="auto" w:fill="D9D9D9"/>
            <w:vAlign w:val="center"/>
          </w:tcPr>
          <w:p w14:paraId="267A187C" w14:textId="3B15DCF1" w:rsidR="00B066A5" w:rsidRPr="00714B9D" w:rsidRDefault="00B066A5" w:rsidP="00DD6D68">
            <w:pPr>
              <w:jc w:val="center"/>
              <w:rPr>
                <w:sz w:val="20"/>
                <w:szCs w:val="20"/>
              </w:rPr>
            </w:pPr>
            <w:r w:rsidRPr="00975A29">
              <w:rPr>
                <w:rFonts w:ascii="Cambria" w:hAnsi="Cambria"/>
                <w:sz w:val="18"/>
                <w:szCs w:val="18"/>
              </w:rPr>
              <w:t>≤</w:t>
            </w:r>
            <w:r w:rsidRPr="00975A29">
              <w:rPr>
                <w:sz w:val="18"/>
                <w:szCs w:val="18"/>
              </w:rPr>
              <w:t xml:space="preserve"> </w:t>
            </w:r>
            <w:r>
              <w:rPr>
                <w:sz w:val="18"/>
                <w:szCs w:val="18"/>
              </w:rPr>
              <w:t>20</w:t>
            </w:r>
          </w:p>
        </w:tc>
        <w:tc>
          <w:tcPr>
            <w:tcW w:w="1123" w:type="dxa"/>
            <w:tcBorders>
              <w:top w:val="single" w:sz="18" w:space="0" w:color="auto"/>
            </w:tcBorders>
            <w:shd w:val="clear" w:color="auto" w:fill="D9D9D9"/>
            <w:vAlign w:val="center"/>
          </w:tcPr>
          <w:p w14:paraId="350A1C66" w14:textId="3842DCB3" w:rsidR="00B066A5" w:rsidRPr="00A77387" w:rsidRDefault="00762EF5" w:rsidP="00DD6D68">
            <w:pPr>
              <w:jc w:val="center"/>
              <w:rPr>
                <w:sz w:val="20"/>
                <w:szCs w:val="20"/>
              </w:rPr>
            </w:pPr>
            <w:r w:rsidRPr="00975A29">
              <w:rPr>
                <w:rFonts w:ascii="Cambria" w:hAnsi="Cambria"/>
                <w:sz w:val="18"/>
                <w:szCs w:val="18"/>
              </w:rPr>
              <w:t>≤</w:t>
            </w:r>
            <w:r>
              <w:rPr>
                <w:sz w:val="18"/>
                <w:szCs w:val="18"/>
              </w:rPr>
              <w:t xml:space="preserve"> K</w:t>
            </w:r>
          </w:p>
        </w:tc>
        <w:tc>
          <w:tcPr>
            <w:tcW w:w="1110" w:type="dxa"/>
            <w:tcBorders>
              <w:top w:val="single" w:sz="18" w:space="0" w:color="auto"/>
            </w:tcBorders>
            <w:vAlign w:val="center"/>
          </w:tcPr>
          <w:p w14:paraId="5FF0363E" w14:textId="4EE2D617" w:rsidR="00B066A5" w:rsidRPr="00253B36" w:rsidRDefault="00B066A5" w:rsidP="00DD6D68">
            <w:pPr>
              <w:jc w:val="center"/>
              <w:rPr>
                <w:sz w:val="18"/>
                <w:szCs w:val="18"/>
              </w:rPr>
            </w:pPr>
            <w:r w:rsidRPr="00B066A5">
              <w:rPr>
                <w:sz w:val="16"/>
                <w:szCs w:val="16"/>
              </w:rPr>
              <w:t>Substantially Deficient</w:t>
            </w:r>
          </w:p>
        </w:tc>
        <w:tc>
          <w:tcPr>
            <w:tcW w:w="990" w:type="dxa"/>
            <w:tcBorders>
              <w:top w:val="single" w:sz="18" w:space="0" w:color="auto"/>
            </w:tcBorders>
            <w:vAlign w:val="center"/>
          </w:tcPr>
          <w:p w14:paraId="1D5DC36A" w14:textId="23898C8D" w:rsidR="00B066A5" w:rsidRPr="000927BC" w:rsidRDefault="00B066A5" w:rsidP="00DD6D68">
            <w:pPr>
              <w:jc w:val="center"/>
              <w:rPr>
                <w:sz w:val="18"/>
                <w:szCs w:val="18"/>
              </w:rPr>
            </w:pPr>
            <w:r w:rsidRPr="000927BC">
              <w:rPr>
                <w:rFonts w:ascii="Cambria" w:hAnsi="Cambria"/>
                <w:sz w:val="18"/>
                <w:szCs w:val="18"/>
              </w:rPr>
              <w:t>≤</w:t>
            </w:r>
            <w:r w:rsidRPr="000927BC">
              <w:rPr>
                <w:sz w:val="18"/>
                <w:szCs w:val="18"/>
              </w:rPr>
              <w:t xml:space="preserve"> 28</w:t>
            </w:r>
          </w:p>
        </w:tc>
        <w:tc>
          <w:tcPr>
            <w:tcW w:w="1170" w:type="dxa"/>
            <w:tcBorders>
              <w:top w:val="single" w:sz="18" w:space="0" w:color="auto"/>
            </w:tcBorders>
            <w:vAlign w:val="center"/>
          </w:tcPr>
          <w:p w14:paraId="311E79A6" w14:textId="02479910" w:rsidR="00B066A5" w:rsidRPr="000927BC" w:rsidRDefault="00AB6D68" w:rsidP="00DD6D68">
            <w:pPr>
              <w:jc w:val="center"/>
              <w:rPr>
                <w:sz w:val="18"/>
                <w:szCs w:val="18"/>
              </w:rPr>
            </w:pPr>
            <w:r w:rsidRPr="000927BC">
              <w:rPr>
                <w:rFonts w:ascii="Cambria" w:hAnsi="Cambria"/>
                <w:sz w:val="18"/>
                <w:szCs w:val="18"/>
              </w:rPr>
              <w:t>≤</w:t>
            </w:r>
            <w:r w:rsidRPr="000927BC">
              <w:rPr>
                <w:sz w:val="18"/>
                <w:szCs w:val="18"/>
              </w:rPr>
              <w:t xml:space="preserve"> M</w:t>
            </w:r>
          </w:p>
        </w:tc>
      </w:tr>
      <w:tr w:rsidR="00B066A5" w:rsidRPr="00410F33" w14:paraId="15164FE5" w14:textId="77777777" w:rsidTr="00E50D0A">
        <w:tc>
          <w:tcPr>
            <w:tcW w:w="540" w:type="dxa"/>
            <w:vMerge/>
            <w:vAlign w:val="bottom"/>
          </w:tcPr>
          <w:p w14:paraId="65AE1241" w14:textId="77777777" w:rsidR="00B066A5" w:rsidRPr="00410F33" w:rsidRDefault="00B066A5" w:rsidP="00DD6D68">
            <w:pPr>
              <w:jc w:val="center"/>
              <w:rPr>
                <w:sz w:val="22"/>
                <w:szCs w:val="22"/>
              </w:rPr>
            </w:pPr>
          </w:p>
        </w:tc>
        <w:tc>
          <w:tcPr>
            <w:tcW w:w="1170" w:type="dxa"/>
            <w:vAlign w:val="center"/>
          </w:tcPr>
          <w:p w14:paraId="61FF2EF0" w14:textId="591CAE43" w:rsidR="00B066A5" w:rsidRPr="00253B36" w:rsidRDefault="00B066A5" w:rsidP="00DD6D68">
            <w:pPr>
              <w:jc w:val="center"/>
              <w:rPr>
                <w:sz w:val="18"/>
                <w:szCs w:val="18"/>
              </w:rPr>
            </w:pPr>
            <w:r w:rsidRPr="00B066A5">
              <w:rPr>
                <w:sz w:val="16"/>
                <w:szCs w:val="16"/>
              </w:rPr>
              <w:t>Partially Proficient</w:t>
            </w:r>
          </w:p>
        </w:tc>
        <w:tc>
          <w:tcPr>
            <w:tcW w:w="900" w:type="dxa"/>
            <w:vAlign w:val="center"/>
          </w:tcPr>
          <w:p w14:paraId="15B89989" w14:textId="0CC63695" w:rsidR="00B066A5" w:rsidRPr="00B066A5" w:rsidRDefault="00271E60" w:rsidP="00DD6D68">
            <w:pPr>
              <w:jc w:val="center"/>
              <w:rPr>
                <w:sz w:val="18"/>
                <w:szCs w:val="18"/>
              </w:rPr>
            </w:pPr>
            <w:r>
              <w:rPr>
                <w:sz w:val="18"/>
                <w:szCs w:val="18"/>
              </w:rPr>
              <w:t>20-2</w:t>
            </w:r>
            <w:r w:rsidR="00DA323F">
              <w:rPr>
                <w:sz w:val="18"/>
                <w:szCs w:val="18"/>
              </w:rPr>
              <w:t>4</w:t>
            </w:r>
          </w:p>
        </w:tc>
        <w:tc>
          <w:tcPr>
            <w:tcW w:w="1200" w:type="dxa"/>
            <w:vAlign w:val="center"/>
          </w:tcPr>
          <w:p w14:paraId="65E6E945" w14:textId="725FEB50" w:rsidR="00B066A5" w:rsidRPr="00B066A5" w:rsidRDefault="00DA323F" w:rsidP="00DD6D68">
            <w:pPr>
              <w:jc w:val="center"/>
              <w:rPr>
                <w:sz w:val="18"/>
                <w:szCs w:val="18"/>
              </w:rPr>
            </w:pPr>
            <w:r>
              <w:rPr>
                <w:sz w:val="18"/>
                <w:szCs w:val="18"/>
              </w:rPr>
              <w:t>K-</w:t>
            </w:r>
            <w:r w:rsidR="006920BC">
              <w:rPr>
                <w:sz w:val="18"/>
                <w:szCs w:val="18"/>
              </w:rPr>
              <w:t>L</w:t>
            </w:r>
          </w:p>
        </w:tc>
        <w:tc>
          <w:tcPr>
            <w:tcW w:w="1140" w:type="dxa"/>
            <w:shd w:val="clear" w:color="auto" w:fill="D9D9D9"/>
            <w:vAlign w:val="center"/>
          </w:tcPr>
          <w:p w14:paraId="668FE75D" w14:textId="06737395" w:rsidR="00B066A5" w:rsidRPr="00253B36" w:rsidRDefault="00B066A5" w:rsidP="00DD6D68">
            <w:pPr>
              <w:jc w:val="center"/>
              <w:rPr>
                <w:sz w:val="18"/>
                <w:szCs w:val="18"/>
              </w:rPr>
            </w:pPr>
            <w:r w:rsidRPr="00B066A5">
              <w:rPr>
                <w:sz w:val="16"/>
                <w:szCs w:val="16"/>
              </w:rPr>
              <w:t>Partially Proficient</w:t>
            </w:r>
          </w:p>
        </w:tc>
        <w:tc>
          <w:tcPr>
            <w:tcW w:w="1007" w:type="dxa"/>
            <w:shd w:val="clear" w:color="auto" w:fill="D9D9D9"/>
            <w:vAlign w:val="center"/>
          </w:tcPr>
          <w:p w14:paraId="39ABB8D2" w14:textId="06D3EFB8" w:rsidR="00B066A5" w:rsidRPr="00271E60" w:rsidRDefault="00762EF5" w:rsidP="00DD6D68">
            <w:pPr>
              <w:jc w:val="center"/>
              <w:rPr>
                <w:sz w:val="18"/>
                <w:szCs w:val="18"/>
              </w:rPr>
            </w:pPr>
            <w:r>
              <w:rPr>
                <w:sz w:val="18"/>
                <w:szCs w:val="18"/>
              </w:rPr>
              <w:t>24</w:t>
            </w:r>
            <w:r w:rsidR="00271E60" w:rsidRPr="00271E60">
              <w:rPr>
                <w:sz w:val="18"/>
                <w:szCs w:val="18"/>
              </w:rPr>
              <w:t>-3</w:t>
            </w:r>
            <w:r>
              <w:rPr>
                <w:sz w:val="18"/>
                <w:szCs w:val="18"/>
              </w:rPr>
              <w:t>0</w:t>
            </w:r>
          </w:p>
        </w:tc>
        <w:tc>
          <w:tcPr>
            <w:tcW w:w="1123" w:type="dxa"/>
            <w:shd w:val="clear" w:color="auto" w:fill="D9D9D9"/>
            <w:vAlign w:val="center"/>
          </w:tcPr>
          <w:p w14:paraId="0BDE288F" w14:textId="168E00C2" w:rsidR="00B066A5" w:rsidRPr="00762EF5" w:rsidRDefault="00762EF5" w:rsidP="00DD6D68">
            <w:pPr>
              <w:jc w:val="center"/>
              <w:rPr>
                <w:sz w:val="18"/>
                <w:szCs w:val="18"/>
              </w:rPr>
            </w:pPr>
            <w:r w:rsidRPr="00762EF5">
              <w:rPr>
                <w:sz w:val="18"/>
                <w:szCs w:val="18"/>
              </w:rPr>
              <w:t>L-N</w:t>
            </w:r>
          </w:p>
        </w:tc>
        <w:tc>
          <w:tcPr>
            <w:tcW w:w="1110" w:type="dxa"/>
            <w:vAlign w:val="center"/>
          </w:tcPr>
          <w:p w14:paraId="64C6A860" w14:textId="6F3C15E1" w:rsidR="00B066A5" w:rsidRPr="00253B36" w:rsidRDefault="00B066A5" w:rsidP="00DD6D68">
            <w:pPr>
              <w:jc w:val="center"/>
              <w:rPr>
                <w:sz w:val="18"/>
                <w:szCs w:val="18"/>
              </w:rPr>
            </w:pPr>
            <w:r w:rsidRPr="00B066A5">
              <w:rPr>
                <w:sz w:val="16"/>
                <w:szCs w:val="16"/>
              </w:rPr>
              <w:t>Partially Proficient</w:t>
            </w:r>
          </w:p>
        </w:tc>
        <w:tc>
          <w:tcPr>
            <w:tcW w:w="990" w:type="dxa"/>
            <w:vAlign w:val="center"/>
          </w:tcPr>
          <w:p w14:paraId="34364E15" w14:textId="7BC38F8D" w:rsidR="00B066A5" w:rsidRPr="000927BC" w:rsidRDefault="00AB6D68" w:rsidP="00DD6D68">
            <w:pPr>
              <w:jc w:val="center"/>
              <w:rPr>
                <w:sz w:val="18"/>
                <w:szCs w:val="18"/>
              </w:rPr>
            </w:pPr>
            <w:r w:rsidRPr="000927BC">
              <w:rPr>
                <w:sz w:val="18"/>
                <w:szCs w:val="18"/>
              </w:rPr>
              <w:t>30-34</w:t>
            </w:r>
          </w:p>
        </w:tc>
        <w:tc>
          <w:tcPr>
            <w:tcW w:w="1170" w:type="dxa"/>
            <w:vAlign w:val="center"/>
          </w:tcPr>
          <w:p w14:paraId="225E41FD" w14:textId="1867194C" w:rsidR="00B066A5" w:rsidRPr="000927BC" w:rsidRDefault="00AB6D68" w:rsidP="00DD6D68">
            <w:pPr>
              <w:jc w:val="center"/>
              <w:rPr>
                <w:sz w:val="18"/>
                <w:szCs w:val="18"/>
              </w:rPr>
            </w:pPr>
            <w:r w:rsidRPr="000927BC">
              <w:rPr>
                <w:sz w:val="18"/>
                <w:szCs w:val="18"/>
              </w:rPr>
              <w:t>N-O</w:t>
            </w:r>
          </w:p>
        </w:tc>
      </w:tr>
      <w:tr w:rsidR="00B066A5" w:rsidRPr="00410F33" w14:paraId="5816E999" w14:textId="77777777" w:rsidTr="00E50D0A">
        <w:tc>
          <w:tcPr>
            <w:tcW w:w="540" w:type="dxa"/>
            <w:vMerge/>
            <w:vAlign w:val="bottom"/>
          </w:tcPr>
          <w:p w14:paraId="1403B486" w14:textId="77777777" w:rsidR="00B066A5" w:rsidRPr="00410F33" w:rsidRDefault="00B066A5" w:rsidP="00DD6D68">
            <w:pPr>
              <w:jc w:val="center"/>
              <w:rPr>
                <w:sz w:val="22"/>
                <w:szCs w:val="22"/>
              </w:rPr>
            </w:pPr>
          </w:p>
        </w:tc>
        <w:tc>
          <w:tcPr>
            <w:tcW w:w="1170" w:type="dxa"/>
            <w:vAlign w:val="center"/>
          </w:tcPr>
          <w:p w14:paraId="6D313239" w14:textId="3C563800" w:rsidR="00B066A5" w:rsidRPr="00253B36" w:rsidRDefault="00B066A5" w:rsidP="00DD6D68">
            <w:pPr>
              <w:jc w:val="center"/>
              <w:rPr>
                <w:sz w:val="18"/>
                <w:szCs w:val="18"/>
              </w:rPr>
            </w:pPr>
            <w:r w:rsidRPr="00B066A5">
              <w:rPr>
                <w:sz w:val="16"/>
                <w:szCs w:val="16"/>
              </w:rPr>
              <w:t>Proficient</w:t>
            </w:r>
          </w:p>
        </w:tc>
        <w:tc>
          <w:tcPr>
            <w:tcW w:w="900" w:type="dxa"/>
            <w:vAlign w:val="center"/>
          </w:tcPr>
          <w:p w14:paraId="1360A1BB" w14:textId="7883318D" w:rsidR="00B066A5" w:rsidRPr="00B066A5" w:rsidRDefault="00C41FED" w:rsidP="00DD6D68">
            <w:pPr>
              <w:jc w:val="center"/>
              <w:rPr>
                <w:sz w:val="18"/>
                <w:szCs w:val="18"/>
              </w:rPr>
            </w:pPr>
            <w:r>
              <w:rPr>
                <w:sz w:val="18"/>
                <w:szCs w:val="18"/>
              </w:rPr>
              <w:t>28</w:t>
            </w:r>
            <w:r w:rsidR="00271E60" w:rsidRPr="00B066A5">
              <w:rPr>
                <w:sz w:val="18"/>
                <w:szCs w:val="18"/>
              </w:rPr>
              <w:t>-</w:t>
            </w:r>
            <w:r w:rsidR="00271E60">
              <w:rPr>
                <w:sz w:val="18"/>
                <w:szCs w:val="18"/>
              </w:rPr>
              <w:t>3</w:t>
            </w:r>
            <w:r w:rsidR="006A0F2B">
              <w:rPr>
                <w:sz w:val="18"/>
                <w:szCs w:val="18"/>
              </w:rPr>
              <w:t>8</w:t>
            </w:r>
          </w:p>
        </w:tc>
        <w:tc>
          <w:tcPr>
            <w:tcW w:w="1200" w:type="dxa"/>
            <w:vAlign w:val="center"/>
          </w:tcPr>
          <w:p w14:paraId="7D29417F" w14:textId="60926E0C" w:rsidR="00B066A5" w:rsidRPr="00B066A5" w:rsidRDefault="006920BC" w:rsidP="00DD6D68">
            <w:pPr>
              <w:jc w:val="center"/>
              <w:rPr>
                <w:sz w:val="18"/>
                <w:szCs w:val="18"/>
              </w:rPr>
            </w:pPr>
            <w:r>
              <w:rPr>
                <w:sz w:val="18"/>
                <w:szCs w:val="18"/>
              </w:rPr>
              <w:t>M-</w:t>
            </w:r>
            <w:r w:rsidR="007D1650">
              <w:rPr>
                <w:sz w:val="18"/>
                <w:szCs w:val="18"/>
              </w:rPr>
              <w:t>R</w:t>
            </w:r>
          </w:p>
        </w:tc>
        <w:tc>
          <w:tcPr>
            <w:tcW w:w="1140" w:type="dxa"/>
            <w:shd w:val="clear" w:color="auto" w:fill="D9D9D9"/>
            <w:vAlign w:val="center"/>
          </w:tcPr>
          <w:p w14:paraId="32C298AD" w14:textId="1625C731" w:rsidR="00B066A5" w:rsidRPr="00253B36" w:rsidRDefault="00B066A5" w:rsidP="00DD6D68">
            <w:pPr>
              <w:jc w:val="center"/>
              <w:rPr>
                <w:sz w:val="18"/>
                <w:szCs w:val="18"/>
              </w:rPr>
            </w:pPr>
            <w:r w:rsidRPr="00B066A5">
              <w:rPr>
                <w:sz w:val="16"/>
                <w:szCs w:val="16"/>
              </w:rPr>
              <w:t>Proficient</w:t>
            </w:r>
          </w:p>
        </w:tc>
        <w:tc>
          <w:tcPr>
            <w:tcW w:w="1007" w:type="dxa"/>
            <w:shd w:val="clear" w:color="auto" w:fill="D9D9D9"/>
            <w:vAlign w:val="center"/>
          </w:tcPr>
          <w:p w14:paraId="6E680248" w14:textId="39DE2C68" w:rsidR="00B066A5" w:rsidRPr="00271E60" w:rsidRDefault="00C41FED" w:rsidP="00DD6D68">
            <w:pPr>
              <w:jc w:val="center"/>
              <w:rPr>
                <w:sz w:val="18"/>
                <w:szCs w:val="18"/>
              </w:rPr>
            </w:pPr>
            <w:r>
              <w:rPr>
                <w:sz w:val="18"/>
                <w:szCs w:val="18"/>
              </w:rPr>
              <w:t>34-38</w:t>
            </w:r>
          </w:p>
        </w:tc>
        <w:tc>
          <w:tcPr>
            <w:tcW w:w="1123" w:type="dxa"/>
            <w:shd w:val="clear" w:color="auto" w:fill="D9D9D9"/>
            <w:vAlign w:val="center"/>
          </w:tcPr>
          <w:p w14:paraId="272C7167" w14:textId="4CD93671" w:rsidR="00B066A5" w:rsidRPr="00271E60" w:rsidRDefault="00762EF5" w:rsidP="00DD6D68">
            <w:pPr>
              <w:jc w:val="center"/>
              <w:rPr>
                <w:sz w:val="18"/>
                <w:szCs w:val="18"/>
              </w:rPr>
            </w:pPr>
            <w:r>
              <w:rPr>
                <w:sz w:val="18"/>
                <w:szCs w:val="18"/>
              </w:rPr>
              <w:t>O-</w:t>
            </w:r>
            <w:r w:rsidR="007D1650">
              <w:rPr>
                <w:sz w:val="18"/>
                <w:szCs w:val="18"/>
              </w:rPr>
              <w:t>R</w:t>
            </w:r>
          </w:p>
        </w:tc>
        <w:tc>
          <w:tcPr>
            <w:tcW w:w="1110" w:type="dxa"/>
            <w:vAlign w:val="center"/>
          </w:tcPr>
          <w:p w14:paraId="6F074FF6" w14:textId="6F205DA9" w:rsidR="00B066A5" w:rsidRPr="00253B36" w:rsidRDefault="00B066A5" w:rsidP="00DD6D68">
            <w:pPr>
              <w:jc w:val="center"/>
              <w:rPr>
                <w:sz w:val="18"/>
                <w:szCs w:val="18"/>
              </w:rPr>
            </w:pPr>
            <w:r w:rsidRPr="00B066A5">
              <w:rPr>
                <w:sz w:val="16"/>
                <w:szCs w:val="16"/>
              </w:rPr>
              <w:t>Proficient</w:t>
            </w:r>
          </w:p>
        </w:tc>
        <w:tc>
          <w:tcPr>
            <w:tcW w:w="990" w:type="dxa"/>
            <w:vAlign w:val="center"/>
          </w:tcPr>
          <w:p w14:paraId="06937E84" w14:textId="0C984B63" w:rsidR="00B066A5" w:rsidRPr="000927BC" w:rsidRDefault="00C41FED" w:rsidP="00DD6D68">
            <w:pPr>
              <w:jc w:val="center"/>
              <w:rPr>
                <w:sz w:val="18"/>
                <w:szCs w:val="18"/>
              </w:rPr>
            </w:pPr>
            <w:r w:rsidRPr="000927BC">
              <w:rPr>
                <w:sz w:val="18"/>
                <w:szCs w:val="18"/>
              </w:rPr>
              <w:t>38</w:t>
            </w:r>
            <w:r w:rsidR="00271E60" w:rsidRPr="000927BC">
              <w:rPr>
                <w:sz w:val="18"/>
                <w:szCs w:val="18"/>
              </w:rPr>
              <w:t>-40</w:t>
            </w:r>
          </w:p>
        </w:tc>
        <w:tc>
          <w:tcPr>
            <w:tcW w:w="1170" w:type="dxa"/>
            <w:vAlign w:val="center"/>
          </w:tcPr>
          <w:p w14:paraId="63694207" w14:textId="205D26E9" w:rsidR="00B066A5" w:rsidRPr="000927BC" w:rsidRDefault="0041770B" w:rsidP="00DD6D68">
            <w:pPr>
              <w:jc w:val="center"/>
              <w:rPr>
                <w:sz w:val="18"/>
                <w:szCs w:val="18"/>
              </w:rPr>
            </w:pPr>
            <w:r w:rsidRPr="000927BC">
              <w:rPr>
                <w:sz w:val="18"/>
                <w:szCs w:val="18"/>
              </w:rPr>
              <w:t>P-T</w:t>
            </w:r>
          </w:p>
        </w:tc>
      </w:tr>
      <w:tr w:rsidR="006A0F2B" w:rsidRPr="00410F33" w14:paraId="31CF98EF" w14:textId="77777777" w:rsidTr="00E50D0A">
        <w:tc>
          <w:tcPr>
            <w:tcW w:w="540" w:type="dxa"/>
            <w:vMerge/>
            <w:vAlign w:val="bottom"/>
          </w:tcPr>
          <w:p w14:paraId="020C715F" w14:textId="77777777" w:rsidR="006A0F2B" w:rsidRPr="00410F33" w:rsidRDefault="006A0F2B" w:rsidP="00DD6D68">
            <w:pPr>
              <w:jc w:val="center"/>
              <w:rPr>
                <w:sz w:val="22"/>
                <w:szCs w:val="22"/>
              </w:rPr>
            </w:pPr>
          </w:p>
        </w:tc>
        <w:tc>
          <w:tcPr>
            <w:tcW w:w="1170" w:type="dxa"/>
            <w:vAlign w:val="center"/>
          </w:tcPr>
          <w:p w14:paraId="3265F45F" w14:textId="52AF34E9" w:rsidR="006A0F2B" w:rsidRPr="00253B36" w:rsidRDefault="006A0F2B" w:rsidP="00DD6D68">
            <w:pPr>
              <w:jc w:val="center"/>
              <w:rPr>
                <w:sz w:val="18"/>
                <w:szCs w:val="18"/>
              </w:rPr>
            </w:pPr>
            <w:r w:rsidRPr="00B066A5">
              <w:rPr>
                <w:sz w:val="16"/>
                <w:szCs w:val="16"/>
              </w:rPr>
              <w:t>Advanced</w:t>
            </w:r>
          </w:p>
        </w:tc>
        <w:tc>
          <w:tcPr>
            <w:tcW w:w="900" w:type="dxa"/>
            <w:vAlign w:val="center"/>
          </w:tcPr>
          <w:p w14:paraId="0C5CB676" w14:textId="5A2A29AA" w:rsidR="006A0F2B" w:rsidRPr="00B066A5" w:rsidRDefault="006A0F2B" w:rsidP="006A0F2B">
            <w:pPr>
              <w:jc w:val="center"/>
              <w:rPr>
                <w:sz w:val="18"/>
                <w:szCs w:val="18"/>
              </w:rPr>
            </w:pPr>
            <w:r>
              <w:rPr>
                <w:rFonts w:ascii="Cambria" w:hAnsi="Cambria"/>
                <w:sz w:val="18"/>
                <w:szCs w:val="18"/>
              </w:rPr>
              <w:t xml:space="preserve">≥ </w:t>
            </w:r>
            <w:r>
              <w:rPr>
                <w:sz w:val="18"/>
                <w:szCs w:val="18"/>
              </w:rPr>
              <w:t>40</w:t>
            </w:r>
          </w:p>
        </w:tc>
        <w:tc>
          <w:tcPr>
            <w:tcW w:w="1200" w:type="dxa"/>
            <w:vAlign w:val="center"/>
          </w:tcPr>
          <w:p w14:paraId="5BD07E18" w14:textId="330A2E12" w:rsidR="006A0F2B" w:rsidRPr="00B066A5" w:rsidRDefault="006A0F2B" w:rsidP="00DD6D68">
            <w:pPr>
              <w:jc w:val="center"/>
              <w:rPr>
                <w:sz w:val="18"/>
                <w:szCs w:val="18"/>
              </w:rPr>
            </w:pPr>
            <w:r>
              <w:rPr>
                <w:rFonts w:ascii="Cambria" w:hAnsi="Cambria"/>
                <w:sz w:val="18"/>
                <w:szCs w:val="18"/>
              </w:rPr>
              <w:t xml:space="preserve">≥ </w:t>
            </w:r>
            <w:r w:rsidR="002222CE">
              <w:rPr>
                <w:sz w:val="18"/>
                <w:szCs w:val="18"/>
              </w:rPr>
              <w:t>S</w:t>
            </w:r>
          </w:p>
        </w:tc>
        <w:tc>
          <w:tcPr>
            <w:tcW w:w="1140" w:type="dxa"/>
            <w:shd w:val="clear" w:color="auto" w:fill="D9D9D9"/>
            <w:vAlign w:val="center"/>
          </w:tcPr>
          <w:p w14:paraId="68824585" w14:textId="42574EC9" w:rsidR="006A0F2B" w:rsidRPr="00253B36" w:rsidRDefault="006A0F2B" w:rsidP="00DD6D68">
            <w:pPr>
              <w:jc w:val="center"/>
              <w:rPr>
                <w:sz w:val="18"/>
                <w:szCs w:val="18"/>
              </w:rPr>
            </w:pPr>
            <w:r w:rsidRPr="00B066A5">
              <w:rPr>
                <w:sz w:val="16"/>
                <w:szCs w:val="16"/>
              </w:rPr>
              <w:t>Advanced</w:t>
            </w:r>
          </w:p>
        </w:tc>
        <w:tc>
          <w:tcPr>
            <w:tcW w:w="1007" w:type="dxa"/>
            <w:shd w:val="clear" w:color="auto" w:fill="D9D9D9"/>
            <w:vAlign w:val="center"/>
          </w:tcPr>
          <w:p w14:paraId="68B1E13F" w14:textId="0D60155E" w:rsidR="006A0F2B" w:rsidRPr="006A0F2B" w:rsidRDefault="00C41FED" w:rsidP="00DD6D68">
            <w:pPr>
              <w:jc w:val="center"/>
              <w:rPr>
                <w:sz w:val="18"/>
                <w:szCs w:val="20"/>
              </w:rPr>
            </w:pPr>
            <w:r>
              <w:rPr>
                <w:rFonts w:ascii="Cambria" w:hAnsi="Cambria"/>
                <w:sz w:val="18"/>
                <w:szCs w:val="18"/>
              </w:rPr>
              <w:t xml:space="preserve">≥ </w:t>
            </w:r>
            <w:r>
              <w:rPr>
                <w:sz w:val="18"/>
                <w:szCs w:val="18"/>
              </w:rPr>
              <w:t>40</w:t>
            </w:r>
          </w:p>
        </w:tc>
        <w:tc>
          <w:tcPr>
            <w:tcW w:w="1123" w:type="dxa"/>
            <w:shd w:val="clear" w:color="auto" w:fill="D9D9D9"/>
            <w:vAlign w:val="center"/>
          </w:tcPr>
          <w:p w14:paraId="0B1B173D" w14:textId="0048B136" w:rsidR="006A0F2B" w:rsidRPr="006A0F2B" w:rsidRDefault="006A0F2B" w:rsidP="00DD6D68">
            <w:pPr>
              <w:jc w:val="center"/>
              <w:rPr>
                <w:sz w:val="18"/>
                <w:szCs w:val="20"/>
              </w:rPr>
            </w:pPr>
            <w:r w:rsidRPr="006A0F2B">
              <w:rPr>
                <w:rFonts w:ascii="Cambria" w:hAnsi="Cambria"/>
                <w:sz w:val="18"/>
                <w:szCs w:val="18"/>
              </w:rPr>
              <w:t>≥</w:t>
            </w:r>
            <w:r>
              <w:rPr>
                <w:rFonts w:ascii="Cambria" w:hAnsi="Cambria"/>
                <w:sz w:val="18"/>
                <w:szCs w:val="18"/>
              </w:rPr>
              <w:t xml:space="preserve"> </w:t>
            </w:r>
            <w:r w:rsidR="00AB6D68">
              <w:rPr>
                <w:sz w:val="18"/>
                <w:szCs w:val="18"/>
              </w:rPr>
              <w:t>S</w:t>
            </w:r>
          </w:p>
        </w:tc>
        <w:tc>
          <w:tcPr>
            <w:tcW w:w="1110" w:type="dxa"/>
            <w:vAlign w:val="center"/>
          </w:tcPr>
          <w:p w14:paraId="29574179" w14:textId="47B5FF3A" w:rsidR="006A0F2B" w:rsidRPr="00253B36" w:rsidRDefault="006A0F2B" w:rsidP="00DD6D68">
            <w:pPr>
              <w:jc w:val="center"/>
              <w:rPr>
                <w:sz w:val="18"/>
                <w:szCs w:val="18"/>
              </w:rPr>
            </w:pPr>
            <w:r w:rsidRPr="00B066A5">
              <w:rPr>
                <w:sz w:val="16"/>
                <w:szCs w:val="16"/>
              </w:rPr>
              <w:t>Advanced</w:t>
            </w:r>
          </w:p>
        </w:tc>
        <w:tc>
          <w:tcPr>
            <w:tcW w:w="990" w:type="dxa"/>
            <w:vAlign w:val="center"/>
          </w:tcPr>
          <w:p w14:paraId="13778F49" w14:textId="18D9C6B5" w:rsidR="006A0F2B" w:rsidRPr="000927BC" w:rsidRDefault="0041770B" w:rsidP="00DD6D68">
            <w:pPr>
              <w:jc w:val="center"/>
              <w:rPr>
                <w:sz w:val="18"/>
                <w:szCs w:val="18"/>
              </w:rPr>
            </w:pPr>
            <w:r w:rsidRPr="000927BC">
              <w:rPr>
                <w:rFonts w:ascii="Cambria" w:hAnsi="Cambria"/>
                <w:sz w:val="18"/>
                <w:szCs w:val="18"/>
              </w:rPr>
              <w:t>&gt;</w:t>
            </w:r>
            <w:r w:rsidR="00C41FED" w:rsidRPr="000927BC">
              <w:rPr>
                <w:rFonts w:ascii="Cambria" w:hAnsi="Cambria"/>
                <w:sz w:val="18"/>
                <w:szCs w:val="18"/>
              </w:rPr>
              <w:t xml:space="preserve"> </w:t>
            </w:r>
            <w:r w:rsidR="00C41FED" w:rsidRPr="000927BC">
              <w:rPr>
                <w:sz w:val="18"/>
                <w:szCs w:val="18"/>
              </w:rPr>
              <w:t>40</w:t>
            </w:r>
          </w:p>
        </w:tc>
        <w:tc>
          <w:tcPr>
            <w:tcW w:w="1170" w:type="dxa"/>
            <w:vAlign w:val="center"/>
          </w:tcPr>
          <w:p w14:paraId="6CC08C34" w14:textId="00B3D96C" w:rsidR="006A0F2B" w:rsidRPr="000927BC" w:rsidRDefault="0041770B" w:rsidP="00DD6D68">
            <w:pPr>
              <w:jc w:val="center"/>
              <w:rPr>
                <w:sz w:val="18"/>
                <w:szCs w:val="18"/>
              </w:rPr>
            </w:pPr>
            <w:r w:rsidRPr="000927BC">
              <w:rPr>
                <w:rFonts w:ascii="Cambria" w:hAnsi="Cambria"/>
                <w:sz w:val="18"/>
                <w:szCs w:val="18"/>
              </w:rPr>
              <w:t xml:space="preserve">&gt; </w:t>
            </w:r>
            <w:r w:rsidRPr="000927BC">
              <w:rPr>
                <w:sz w:val="18"/>
                <w:szCs w:val="18"/>
              </w:rPr>
              <w:t>T</w:t>
            </w:r>
          </w:p>
        </w:tc>
      </w:tr>
    </w:tbl>
    <w:p w14:paraId="1875AF30" w14:textId="77777777" w:rsidR="00F906F9" w:rsidRPr="00410F33" w:rsidRDefault="00F906F9" w:rsidP="00F906F9">
      <w:pPr>
        <w:pStyle w:val="Default"/>
        <w:pageBreakBefore/>
        <w:pBdr>
          <w:bottom w:val="single" w:sz="6" w:space="1" w:color="auto"/>
        </w:pBdr>
        <w:rPr>
          <w:rFonts w:ascii="Calibri" w:hAnsi="Calibri" w:cs="Calibri"/>
          <w:b/>
          <w:bCs/>
          <w:color w:val="auto"/>
          <w:sz w:val="22"/>
          <w:szCs w:val="22"/>
        </w:rPr>
      </w:pPr>
      <w:r w:rsidRPr="00410F33">
        <w:rPr>
          <w:rFonts w:ascii="Calibri" w:hAnsi="Calibri" w:cs="Calibri"/>
          <w:b/>
          <w:bCs/>
          <w:color w:val="auto"/>
          <w:sz w:val="22"/>
          <w:szCs w:val="22"/>
        </w:rPr>
        <w:t xml:space="preserve">For more information… </w:t>
      </w:r>
    </w:p>
    <w:p w14:paraId="4F00C3A8" w14:textId="77777777" w:rsidR="0010047A" w:rsidRPr="00410F33" w:rsidRDefault="0010047A" w:rsidP="00F906F9">
      <w:pPr>
        <w:pStyle w:val="Default"/>
        <w:rPr>
          <w:rFonts w:ascii="Calibri" w:hAnsi="Calibri" w:cs="Calibri"/>
          <w:color w:val="auto"/>
          <w:sz w:val="22"/>
          <w:szCs w:val="22"/>
        </w:rPr>
      </w:pPr>
    </w:p>
    <w:p w14:paraId="75CE737D" w14:textId="7D9F77E2" w:rsidR="00F906F9" w:rsidRPr="00410F33" w:rsidRDefault="004411D7" w:rsidP="00F906F9">
      <w:pPr>
        <w:pStyle w:val="Default"/>
        <w:rPr>
          <w:rFonts w:ascii="Calibri" w:hAnsi="Calibri" w:cs="Calibri"/>
          <w:color w:val="auto"/>
          <w:sz w:val="22"/>
          <w:szCs w:val="22"/>
        </w:rPr>
      </w:pPr>
      <w:r w:rsidRPr="00410F33">
        <w:rPr>
          <w:rFonts w:ascii="Calibri" w:hAnsi="Calibri" w:cs="Calibri"/>
          <w:b/>
          <w:bCs/>
          <w:color w:val="auto"/>
          <w:sz w:val="22"/>
          <w:szCs w:val="22"/>
        </w:rPr>
        <w:t>Colorado Early Literacy Act (HB1238)</w:t>
      </w:r>
      <w:r w:rsidR="00F906F9" w:rsidRPr="00410F33">
        <w:rPr>
          <w:rFonts w:ascii="Calibri" w:hAnsi="Calibri" w:cs="Calibri"/>
          <w:b/>
          <w:bCs/>
          <w:color w:val="auto"/>
          <w:sz w:val="22"/>
          <w:szCs w:val="22"/>
        </w:rPr>
        <w:t xml:space="preserve">: </w:t>
      </w:r>
    </w:p>
    <w:p w14:paraId="0C318550" w14:textId="09FB1B26" w:rsidR="00F906F9" w:rsidRPr="00410F33" w:rsidRDefault="00F906F9" w:rsidP="00F906F9">
      <w:pPr>
        <w:pStyle w:val="Default"/>
        <w:rPr>
          <w:rFonts w:ascii="Calibri" w:hAnsi="Calibri" w:cs="Calibri"/>
          <w:color w:val="auto"/>
          <w:sz w:val="22"/>
          <w:szCs w:val="22"/>
        </w:rPr>
      </w:pPr>
      <w:r w:rsidRPr="00410F33">
        <w:rPr>
          <w:rFonts w:ascii="Calibri" w:hAnsi="Calibri" w:cs="Calibri"/>
          <w:color w:val="auto"/>
          <w:sz w:val="22"/>
          <w:szCs w:val="22"/>
        </w:rPr>
        <w:t xml:space="preserve">The Colorado </w:t>
      </w:r>
      <w:r w:rsidR="004411D7" w:rsidRPr="00410F33">
        <w:rPr>
          <w:rFonts w:ascii="Calibri" w:hAnsi="Calibri" w:cs="Calibri"/>
          <w:color w:val="auto"/>
          <w:sz w:val="22"/>
          <w:szCs w:val="22"/>
        </w:rPr>
        <w:t xml:space="preserve">Early Literacy Act </w:t>
      </w:r>
      <w:r w:rsidRPr="00410F33">
        <w:rPr>
          <w:rFonts w:ascii="Calibri" w:hAnsi="Calibri" w:cs="Calibri"/>
          <w:color w:val="auto"/>
          <w:sz w:val="22"/>
          <w:szCs w:val="22"/>
        </w:rPr>
        <w:t xml:space="preserve">requires schools use </w:t>
      </w:r>
      <w:r w:rsidR="004411D7" w:rsidRPr="00410F33">
        <w:rPr>
          <w:rFonts w:ascii="Calibri" w:hAnsi="Calibri" w:cs="Calibri"/>
          <w:color w:val="auto"/>
          <w:sz w:val="22"/>
          <w:szCs w:val="22"/>
        </w:rPr>
        <w:t>a body of evidence to determine</w:t>
      </w:r>
      <w:r w:rsidRPr="00410F33">
        <w:rPr>
          <w:rFonts w:ascii="Calibri" w:hAnsi="Calibri" w:cs="Calibri"/>
          <w:color w:val="auto"/>
          <w:sz w:val="22"/>
          <w:szCs w:val="22"/>
        </w:rPr>
        <w:t xml:space="preserve"> </w:t>
      </w:r>
      <w:r w:rsidR="004411D7" w:rsidRPr="00410F33">
        <w:rPr>
          <w:rFonts w:ascii="Calibri" w:hAnsi="Calibri" w:cs="Calibri"/>
          <w:color w:val="auto"/>
          <w:sz w:val="22"/>
          <w:szCs w:val="22"/>
        </w:rPr>
        <w:t>competency</w:t>
      </w:r>
      <w:r w:rsidRPr="00410F33">
        <w:rPr>
          <w:rFonts w:ascii="Calibri" w:hAnsi="Calibri" w:cs="Calibri"/>
          <w:color w:val="auto"/>
          <w:sz w:val="22"/>
          <w:szCs w:val="22"/>
        </w:rPr>
        <w:t xml:space="preserve"> in reading. </w:t>
      </w:r>
      <w:r w:rsidR="0052604D">
        <w:rPr>
          <w:rFonts w:ascii="Calibri" w:hAnsi="Calibri" w:cs="Calibri"/>
          <w:color w:val="auto"/>
          <w:sz w:val="22"/>
          <w:szCs w:val="22"/>
        </w:rPr>
        <w:t>In grades K-3, t</w:t>
      </w:r>
      <w:r w:rsidRPr="00410F33">
        <w:rPr>
          <w:rFonts w:ascii="Calibri" w:hAnsi="Calibri" w:cs="Calibri"/>
          <w:color w:val="auto"/>
          <w:sz w:val="22"/>
          <w:szCs w:val="22"/>
        </w:rPr>
        <w:t xml:space="preserve">he DRA2 scores are reported to the state the spring of each school year. </w:t>
      </w:r>
      <w:r w:rsidR="006F27DE">
        <w:rPr>
          <w:rFonts w:ascii="Calibri" w:hAnsi="Calibri" w:cs="Calibri"/>
          <w:color w:val="auto"/>
          <w:sz w:val="22"/>
          <w:szCs w:val="22"/>
        </w:rPr>
        <w:t>This act will replace the Colorado Basic Literacy Act (CBLA).</w:t>
      </w:r>
    </w:p>
    <w:p w14:paraId="2C7485F8" w14:textId="77777777" w:rsidR="006601EA" w:rsidRPr="00410F33" w:rsidRDefault="006601EA" w:rsidP="00F906F9">
      <w:pPr>
        <w:pStyle w:val="Default"/>
        <w:rPr>
          <w:rFonts w:ascii="Calibri" w:hAnsi="Calibri" w:cs="Calibri"/>
          <w:b/>
          <w:bCs/>
          <w:color w:val="auto"/>
          <w:sz w:val="22"/>
          <w:szCs w:val="22"/>
        </w:rPr>
      </w:pPr>
    </w:p>
    <w:p w14:paraId="62D40E20" w14:textId="6AFD8211" w:rsidR="00F906F9" w:rsidRPr="00410F33" w:rsidRDefault="00F906F9" w:rsidP="00F906F9">
      <w:pPr>
        <w:pStyle w:val="Default"/>
        <w:rPr>
          <w:rFonts w:ascii="Calibri" w:hAnsi="Calibri" w:cs="Calibri"/>
          <w:color w:val="auto"/>
          <w:sz w:val="22"/>
          <w:szCs w:val="22"/>
        </w:rPr>
      </w:pPr>
      <w:r w:rsidRPr="00410F33">
        <w:rPr>
          <w:rFonts w:ascii="Calibri" w:hAnsi="Calibri" w:cs="Calibri"/>
          <w:b/>
          <w:bCs/>
          <w:color w:val="auto"/>
          <w:sz w:val="22"/>
          <w:szCs w:val="22"/>
        </w:rPr>
        <w:t xml:space="preserve">Individual Literacy Plans: </w:t>
      </w:r>
    </w:p>
    <w:p w14:paraId="7C2EC713" w14:textId="12519286" w:rsidR="00F906F9" w:rsidRDefault="00F906F9" w:rsidP="00F906F9">
      <w:pPr>
        <w:pStyle w:val="Default"/>
        <w:rPr>
          <w:rFonts w:ascii="Calibri" w:hAnsi="Calibri" w:cs="Calibri"/>
          <w:color w:val="auto"/>
          <w:sz w:val="22"/>
          <w:szCs w:val="22"/>
        </w:rPr>
      </w:pPr>
      <w:r w:rsidRPr="00410F33">
        <w:rPr>
          <w:rFonts w:ascii="Calibri" w:hAnsi="Calibri" w:cs="Calibri"/>
          <w:color w:val="auto"/>
          <w:sz w:val="22"/>
          <w:szCs w:val="22"/>
        </w:rPr>
        <w:t>Students not reading at grade level based on a body of evidence, including the DRA2 assessment, but not exclusiv</w:t>
      </w:r>
      <w:r w:rsidR="004411D7" w:rsidRPr="00410F33">
        <w:rPr>
          <w:rFonts w:ascii="Calibri" w:hAnsi="Calibri" w:cs="Calibri"/>
          <w:color w:val="auto"/>
          <w:sz w:val="22"/>
          <w:szCs w:val="22"/>
        </w:rPr>
        <w:t xml:space="preserve">ely based on DRA2, </w:t>
      </w:r>
      <w:r w:rsidR="00BA70E5">
        <w:rPr>
          <w:rFonts w:ascii="Calibri" w:hAnsi="Calibri" w:cs="Calibri"/>
          <w:color w:val="auto"/>
          <w:sz w:val="22"/>
          <w:szCs w:val="22"/>
        </w:rPr>
        <w:t>should</w:t>
      </w:r>
      <w:r w:rsidR="004411D7" w:rsidRPr="00410F33">
        <w:rPr>
          <w:rFonts w:ascii="Calibri" w:hAnsi="Calibri" w:cs="Calibri"/>
          <w:color w:val="auto"/>
          <w:sz w:val="22"/>
          <w:szCs w:val="22"/>
        </w:rPr>
        <w:t xml:space="preserve"> have a</w:t>
      </w:r>
      <w:r w:rsidR="00BA70E5">
        <w:rPr>
          <w:rFonts w:ascii="Calibri" w:hAnsi="Calibri" w:cs="Calibri"/>
          <w:color w:val="auto"/>
          <w:sz w:val="22"/>
          <w:szCs w:val="22"/>
        </w:rPr>
        <w:t>n</w:t>
      </w:r>
      <w:r w:rsidR="004411D7" w:rsidRPr="00410F33">
        <w:rPr>
          <w:rFonts w:ascii="Calibri" w:hAnsi="Calibri" w:cs="Calibri"/>
          <w:color w:val="auto"/>
          <w:sz w:val="22"/>
          <w:szCs w:val="22"/>
        </w:rPr>
        <w:t xml:space="preserve"> </w:t>
      </w:r>
      <w:r w:rsidRPr="00410F33">
        <w:rPr>
          <w:rFonts w:ascii="Calibri" w:hAnsi="Calibri" w:cs="Calibri"/>
          <w:color w:val="auto"/>
          <w:sz w:val="22"/>
          <w:szCs w:val="22"/>
        </w:rPr>
        <w:t xml:space="preserve">Individual Literacy Plan (ILP) or IEP with literacy goals </w:t>
      </w:r>
      <w:r w:rsidR="00F37C1D" w:rsidRPr="00410F33">
        <w:rPr>
          <w:rFonts w:ascii="Calibri" w:hAnsi="Calibri" w:cs="Calibri"/>
          <w:color w:val="auto"/>
          <w:sz w:val="22"/>
          <w:szCs w:val="22"/>
        </w:rPr>
        <w:t>with</w:t>
      </w:r>
      <w:r w:rsidRPr="00410F33">
        <w:rPr>
          <w:rFonts w:ascii="Calibri" w:hAnsi="Calibri" w:cs="Calibri"/>
          <w:color w:val="auto"/>
          <w:sz w:val="22"/>
          <w:szCs w:val="22"/>
        </w:rPr>
        <w:t xml:space="preserve"> </w:t>
      </w:r>
      <w:r w:rsidR="00F37C1D" w:rsidRPr="00410F33">
        <w:rPr>
          <w:rFonts w:ascii="Calibri" w:hAnsi="Calibri" w:cs="Calibri"/>
          <w:color w:val="auto"/>
          <w:sz w:val="22"/>
          <w:szCs w:val="22"/>
        </w:rPr>
        <w:t>explicit plans for communicating with families</w:t>
      </w:r>
      <w:r w:rsidRPr="00410F33">
        <w:rPr>
          <w:rFonts w:ascii="Calibri" w:hAnsi="Calibri" w:cs="Calibri"/>
          <w:color w:val="auto"/>
          <w:sz w:val="22"/>
          <w:szCs w:val="22"/>
        </w:rPr>
        <w:t xml:space="preserve">. </w:t>
      </w:r>
    </w:p>
    <w:p w14:paraId="0183858D" w14:textId="77777777" w:rsidR="00BA70E5" w:rsidRDefault="00BA70E5" w:rsidP="00F906F9">
      <w:pPr>
        <w:pStyle w:val="Default"/>
        <w:rPr>
          <w:rFonts w:ascii="Calibri" w:hAnsi="Calibri" w:cs="Calibri"/>
          <w:color w:val="auto"/>
          <w:sz w:val="22"/>
          <w:szCs w:val="22"/>
        </w:rPr>
      </w:pPr>
    </w:p>
    <w:p w14:paraId="2DA72C85" w14:textId="51B1C782" w:rsidR="00BA70E5" w:rsidRPr="005B31AC" w:rsidRDefault="00BA70E5" w:rsidP="005B31AC">
      <w:pPr>
        <w:pStyle w:val="Default"/>
        <w:ind w:left="720"/>
        <w:rPr>
          <w:rFonts w:ascii="Calibri" w:hAnsi="Calibri" w:cs="Calibri"/>
          <w:i/>
          <w:color w:val="auto"/>
          <w:sz w:val="18"/>
          <w:szCs w:val="22"/>
        </w:rPr>
      </w:pPr>
      <w:r w:rsidRPr="005B31AC">
        <w:rPr>
          <w:rFonts w:ascii="Calibri" w:hAnsi="Calibri" w:cs="Calibri"/>
          <w:i/>
          <w:color w:val="auto"/>
          <w:sz w:val="18"/>
          <w:szCs w:val="22"/>
        </w:rPr>
        <w:t>*This is a year of transition with our current ILP process, as the new Colorado Early Literacy Act will be implemented in the 2013-2014 school year.  More details regarding the transition to the READ Act will be provided by our state this coming year.</w:t>
      </w:r>
    </w:p>
    <w:p w14:paraId="69AC7522" w14:textId="77777777" w:rsidR="007E7074" w:rsidRPr="00410F33" w:rsidRDefault="007E7074">
      <w:pPr>
        <w:rPr>
          <w:sz w:val="22"/>
          <w:szCs w:val="22"/>
        </w:rPr>
      </w:pPr>
    </w:p>
    <w:p w14:paraId="77FC9C34"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Literacy Folders: </w:t>
      </w:r>
    </w:p>
    <w:p w14:paraId="181676B7" w14:textId="024CA710" w:rsidR="007E7074" w:rsidRPr="00410F33" w:rsidRDefault="00BA70E5" w:rsidP="007E7074">
      <w:pPr>
        <w:rPr>
          <w:rFonts w:ascii="Calibri" w:hAnsi="Calibri" w:cs="Calibri"/>
          <w:color w:val="000000"/>
          <w:sz w:val="22"/>
          <w:szCs w:val="22"/>
        </w:rPr>
      </w:pPr>
      <w:r>
        <w:rPr>
          <w:rFonts w:ascii="Calibri" w:hAnsi="Calibri" w:cs="Calibri"/>
          <w:color w:val="000000"/>
          <w:sz w:val="22"/>
          <w:szCs w:val="22"/>
        </w:rPr>
        <w:t>Each student’s</w:t>
      </w:r>
      <w:r w:rsidR="007E7074" w:rsidRPr="00410F33">
        <w:rPr>
          <w:rFonts w:ascii="Calibri" w:hAnsi="Calibri" w:cs="Calibri"/>
          <w:color w:val="000000"/>
          <w:sz w:val="22"/>
          <w:szCs w:val="22"/>
        </w:rPr>
        <w:t xml:space="preserve"> Literacy Folder </w:t>
      </w:r>
      <w:r w:rsidR="003D7E90">
        <w:rPr>
          <w:rFonts w:ascii="Calibri" w:hAnsi="Calibri" w:cs="Calibri"/>
          <w:color w:val="000000"/>
          <w:sz w:val="22"/>
          <w:szCs w:val="22"/>
        </w:rPr>
        <w:t>should</w:t>
      </w:r>
      <w:r w:rsidR="007E7074" w:rsidRPr="00410F33">
        <w:rPr>
          <w:rFonts w:ascii="Calibri" w:hAnsi="Calibri" w:cs="Calibri"/>
          <w:color w:val="000000"/>
          <w:sz w:val="22"/>
          <w:szCs w:val="22"/>
        </w:rPr>
        <w:t xml:space="preserve"> </w:t>
      </w:r>
      <w:r w:rsidR="00B258E4">
        <w:rPr>
          <w:rFonts w:ascii="Calibri" w:hAnsi="Calibri" w:cs="Calibri"/>
          <w:color w:val="000000"/>
          <w:sz w:val="22"/>
          <w:szCs w:val="22"/>
        </w:rPr>
        <w:t>hold</w:t>
      </w:r>
      <w:r w:rsidR="007E7074" w:rsidRPr="00410F33">
        <w:rPr>
          <w:rFonts w:ascii="Calibri" w:hAnsi="Calibri" w:cs="Calibri"/>
          <w:color w:val="000000"/>
          <w:sz w:val="22"/>
          <w:szCs w:val="22"/>
        </w:rPr>
        <w:t xml:space="preserve"> copies of the current instructional and independent level assessments, copies of the notes related to conferences with parents, and other parent communication documentation. Student scores may also be a part of this folder, but it is not required since the scores are entered into Infinite Campus. </w:t>
      </w:r>
      <w:r w:rsidR="005865DF" w:rsidRPr="00410F33">
        <w:rPr>
          <w:rFonts w:ascii="Calibri" w:hAnsi="Calibri" w:cs="Calibri"/>
          <w:color w:val="000000"/>
          <w:sz w:val="22"/>
          <w:szCs w:val="22"/>
        </w:rPr>
        <w:t xml:space="preserve"> DRA2 documentation </w:t>
      </w:r>
      <w:r w:rsidR="007E7074" w:rsidRPr="00410F33">
        <w:rPr>
          <w:rFonts w:ascii="Calibri" w:hAnsi="Calibri" w:cs="Calibri"/>
          <w:color w:val="000000"/>
          <w:sz w:val="22"/>
          <w:szCs w:val="22"/>
        </w:rPr>
        <w:t xml:space="preserve">may be </w:t>
      </w:r>
      <w:r w:rsidR="005865DF" w:rsidRPr="00410F33">
        <w:rPr>
          <w:rFonts w:ascii="Calibri" w:hAnsi="Calibri" w:cs="Calibri"/>
          <w:color w:val="000000"/>
          <w:sz w:val="22"/>
          <w:szCs w:val="22"/>
        </w:rPr>
        <w:t xml:space="preserve">used as part of the </w:t>
      </w:r>
      <w:r w:rsidR="007E7074" w:rsidRPr="00410F33">
        <w:rPr>
          <w:rFonts w:ascii="Calibri" w:hAnsi="Calibri" w:cs="Calibri"/>
          <w:color w:val="000000"/>
          <w:sz w:val="22"/>
          <w:szCs w:val="22"/>
        </w:rPr>
        <w:t>RTI problem-solving process.</w:t>
      </w:r>
      <w:r>
        <w:rPr>
          <w:rFonts w:ascii="Calibri" w:hAnsi="Calibri" w:cs="Calibri"/>
          <w:color w:val="000000"/>
          <w:sz w:val="22"/>
          <w:szCs w:val="22"/>
        </w:rPr>
        <w:t xml:space="preserve">  The </w:t>
      </w:r>
    </w:p>
    <w:p w14:paraId="2DD3BDD8" w14:textId="77777777" w:rsidR="007E7074" w:rsidRPr="00410F33" w:rsidRDefault="007E7074" w:rsidP="007E7074">
      <w:pPr>
        <w:rPr>
          <w:rFonts w:ascii="Calibri" w:hAnsi="Calibri" w:cs="Calibri"/>
          <w:color w:val="000000"/>
          <w:sz w:val="22"/>
          <w:szCs w:val="22"/>
        </w:rPr>
      </w:pPr>
    </w:p>
    <w:p w14:paraId="5088FB28"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New students who enter after the testing window </w:t>
      </w:r>
    </w:p>
    <w:p w14:paraId="32180A85" w14:textId="40AB38F4" w:rsidR="007E7074" w:rsidRPr="00410F33" w:rsidRDefault="007E7074" w:rsidP="007E7074">
      <w:pPr>
        <w:widowControl w:val="0"/>
        <w:autoSpaceDE w:val="0"/>
        <w:autoSpaceDN w:val="0"/>
        <w:adjustRightInd w:val="0"/>
        <w:rPr>
          <w:rFonts w:ascii="Calibri" w:hAnsi="Calibri" w:cs="Calibri"/>
          <w:color w:val="000000"/>
          <w:sz w:val="22"/>
          <w:szCs w:val="22"/>
        </w:rPr>
      </w:pPr>
      <w:r w:rsidRPr="003D7E90">
        <w:rPr>
          <w:rFonts w:ascii="Calibri" w:hAnsi="Calibri" w:cs="Calibri"/>
          <w:color w:val="000000"/>
          <w:sz w:val="22"/>
          <w:szCs w:val="22"/>
        </w:rPr>
        <w:t>If a student enrolls without a current DRA2 assessment, the DRA2 must be administered within the first two weeks of enrollment</w:t>
      </w:r>
      <w:r w:rsidR="003D7E90">
        <w:rPr>
          <w:rFonts w:ascii="Calibri" w:hAnsi="Calibri" w:cs="Calibri"/>
          <w:color w:val="000000"/>
          <w:sz w:val="22"/>
          <w:szCs w:val="22"/>
        </w:rPr>
        <w:t xml:space="preserve"> to provide the teacher with necessary instructional information</w:t>
      </w:r>
      <w:r w:rsidRPr="003D7E90">
        <w:rPr>
          <w:rFonts w:ascii="Calibri" w:hAnsi="Calibri" w:cs="Calibri"/>
          <w:color w:val="000000"/>
          <w:sz w:val="22"/>
          <w:szCs w:val="22"/>
        </w:rPr>
        <w:t xml:space="preserve">. </w:t>
      </w:r>
      <w:r w:rsidR="00FC44E9">
        <w:rPr>
          <w:rFonts w:ascii="Calibri" w:hAnsi="Calibri" w:cs="Calibri"/>
          <w:color w:val="000000"/>
          <w:sz w:val="22"/>
          <w:szCs w:val="22"/>
        </w:rPr>
        <w:t xml:space="preserve">Copies if the testing documentation should be placed in the Literacy Folder. </w:t>
      </w:r>
      <w:r w:rsidR="003D7E90" w:rsidRPr="0021239A">
        <w:rPr>
          <w:rFonts w:ascii="Calibri" w:hAnsi="Calibri" w:cs="Calibri"/>
          <w:color w:val="000000"/>
          <w:sz w:val="22"/>
          <w:szCs w:val="22"/>
        </w:rPr>
        <w:t>These s</w:t>
      </w:r>
      <w:r w:rsidRPr="0021239A">
        <w:rPr>
          <w:rFonts w:ascii="Calibri" w:hAnsi="Calibri" w:cs="Calibri"/>
          <w:color w:val="000000"/>
          <w:sz w:val="22"/>
          <w:szCs w:val="22"/>
        </w:rPr>
        <w:t xml:space="preserve">cores </w:t>
      </w:r>
      <w:r w:rsidR="003D7E90" w:rsidRPr="0021239A">
        <w:rPr>
          <w:rFonts w:ascii="Calibri" w:hAnsi="Calibri" w:cs="Calibri"/>
          <w:color w:val="000000"/>
          <w:sz w:val="22"/>
          <w:szCs w:val="22"/>
        </w:rPr>
        <w:t>will not be</w:t>
      </w:r>
      <w:r w:rsidRPr="0021239A">
        <w:rPr>
          <w:rFonts w:ascii="Calibri" w:hAnsi="Calibri" w:cs="Calibri"/>
          <w:color w:val="000000"/>
          <w:sz w:val="22"/>
          <w:szCs w:val="22"/>
        </w:rPr>
        <w:t xml:space="preserve"> entered into </w:t>
      </w:r>
      <w:r w:rsidR="003B152D" w:rsidRPr="0021239A">
        <w:rPr>
          <w:rFonts w:ascii="Calibri" w:hAnsi="Calibri" w:cs="Calibri"/>
          <w:color w:val="000000"/>
          <w:sz w:val="22"/>
          <w:szCs w:val="22"/>
        </w:rPr>
        <w:t>Infinite Campus</w:t>
      </w:r>
      <w:r w:rsidRPr="0021239A">
        <w:rPr>
          <w:rFonts w:ascii="Calibri" w:hAnsi="Calibri" w:cs="Calibri"/>
          <w:color w:val="000000"/>
          <w:sz w:val="22"/>
          <w:szCs w:val="22"/>
        </w:rPr>
        <w:t>.</w:t>
      </w:r>
    </w:p>
    <w:p w14:paraId="2DD75868" w14:textId="77777777" w:rsidR="003B152D" w:rsidRPr="00410F33" w:rsidRDefault="003B152D" w:rsidP="007E7074">
      <w:pPr>
        <w:widowControl w:val="0"/>
        <w:autoSpaceDE w:val="0"/>
        <w:autoSpaceDN w:val="0"/>
        <w:adjustRightInd w:val="0"/>
        <w:rPr>
          <w:rFonts w:ascii="Calibri" w:hAnsi="Calibri" w:cs="Calibri"/>
          <w:b/>
          <w:bCs/>
          <w:color w:val="000000"/>
          <w:sz w:val="22"/>
          <w:szCs w:val="22"/>
          <w:u w:val="single"/>
        </w:rPr>
      </w:pPr>
    </w:p>
    <w:p w14:paraId="5F5853C0" w14:textId="77777777" w:rsidR="007E7074" w:rsidRPr="00410F33" w:rsidRDefault="007E7074" w:rsidP="007E7074">
      <w:pPr>
        <w:widowControl w:val="0"/>
        <w:autoSpaceDE w:val="0"/>
        <w:autoSpaceDN w:val="0"/>
        <w:adjustRightInd w:val="0"/>
        <w:rPr>
          <w:rFonts w:ascii="Calibri" w:hAnsi="Calibri" w:cs="Calibri"/>
          <w:color w:val="000000"/>
          <w:sz w:val="22"/>
          <w:szCs w:val="22"/>
          <w:u w:val="single"/>
        </w:rPr>
      </w:pPr>
      <w:r w:rsidRPr="00410F33">
        <w:rPr>
          <w:rFonts w:ascii="Calibri" w:hAnsi="Calibri" w:cs="Calibri"/>
          <w:b/>
          <w:bCs/>
          <w:color w:val="000000"/>
          <w:sz w:val="22"/>
          <w:szCs w:val="22"/>
          <w:u w:val="single"/>
        </w:rPr>
        <w:t xml:space="preserve">Administration processes: </w:t>
      </w:r>
    </w:p>
    <w:p w14:paraId="5A91D8DF"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Determining the “highest independent level” </w:t>
      </w:r>
    </w:p>
    <w:p w14:paraId="2839C0F9" w14:textId="34AFA5BB"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color w:val="000000"/>
          <w:sz w:val="22"/>
          <w:szCs w:val="22"/>
        </w:rPr>
        <w:t xml:space="preserve">An independent level is determined when both the Oral Reading Fluency (ORF) score and Comprehension score fall into the </w:t>
      </w:r>
      <w:r w:rsidRPr="00410F33">
        <w:rPr>
          <w:rFonts w:ascii="Calibri" w:hAnsi="Calibri" w:cs="Calibri"/>
          <w:i/>
          <w:iCs/>
          <w:color w:val="000000"/>
          <w:sz w:val="22"/>
          <w:szCs w:val="22"/>
        </w:rPr>
        <w:t xml:space="preserve">independent </w:t>
      </w:r>
      <w:r w:rsidRPr="00410F33">
        <w:rPr>
          <w:rFonts w:ascii="Calibri" w:hAnsi="Calibri" w:cs="Calibri"/>
          <w:color w:val="000000"/>
          <w:sz w:val="22"/>
          <w:szCs w:val="22"/>
        </w:rPr>
        <w:t>range on the DRA2 Continuum.</w:t>
      </w:r>
      <w:r w:rsidR="00EC5E93">
        <w:rPr>
          <w:rFonts w:ascii="Calibri" w:hAnsi="Calibri" w:cs="Calibri"/>
          <w:color w:val="000000"/>
          <w:sz w:val="22"/>
          <w:szCs w:val="22"/>
        </w:rPr>
        <w:t xml:space="preserve"> T</w:t>
      </w:r>
      <w:r w:rsidR="005D1FB3">
        <w:rPr>
          <w:rFonts w:ascii="Calibri" w:hAnsi="Calibri" w:cs="Calibri"/>
          <w:color w:val="000000"/>
          <w:sz w:val="22"/>
          <w:szCs w:val="22"/>
        </w:rPr>
        <w:t>he</w:t>
      </w:r>
      <w:r w:rsidRPr="00410F33">
        <w:rPr>
          <w:rFonts w:ascii="Calibri" w:hAnsi="Calibri" w:cs="Calibri"/>
          <w:color w:val="000000"/>
          <w:sz w:val="22"/>
          <w:szCs w:val="22"/>
        </w:rPr>
        <w:t xml:space="preserve"> </w:t>
      </w:r>
      <w:r w:rsidRPr="00EC5E93">
        <w:rPr>
          <w:rFonts w:ascii="Calibri" w:hAnsi="Calibri" w:cs="Calibri"/>
          <w:b/>
          <w:color w:val="000000"/>
          <w:sz w:val="22"/>
          <w:szCs w:val="22"/>
        </w:rPr>
        <w:t>highest</w:t>
      </w:r>
      <w:r w:rsidRPr="00410F33">
        <w:rPr>
          <w:rFonts w:ascii="Calibri" w:hAnsi="Calibri" w:cs="Calibri"/>
          <w:color w:val="000000"/>
          <w:sz w:val="22"/>
          <w:szCs w:val="22"/>
        </w:rPr>
        <w:t xml:space="preserve"> independent level </w:t>
      </w:r>
      <w:r w:rsidR="00EC5E93">
        <w:rPr>
          <w:rFonts w:ascii="Calibri" w:hAnsi="Calibri" w:cs="Calibri"/>
          <w:color w:val="000000"/>
          <w:sz w:val="22"/>
          <w:szCs w:val="22"/>
        </w:rPr>
        <w:t>is determined</w:t>
      </w:r>
      <w:r w:rsidR="005D1FB3">
        <w:rPr>
          <w:rFonts w:ascii="Calibri" w:hAnsi="Calibri" w:cs="Calibri"/>
          <w:color w:val="000000"/>
          <w:sz w:val="22"/>
          <w:szCs w:val="22"/>
        </w:rPr>
        <w:t xml:space="preserve"> </w:t>
      </w:r>
      <w:r w:rsidRPr="00410F33">
        <w:rPr>
          <w:rFonts w:ascii="Calibri" w:hAnsi="Calibri" w:cs="Calibri"/>
          <w:color w:val="000000"/>
          <w:sz w:val="22"/>
          <w:szCs w:val="22"/>
        </w:rPr>
        <w:t xml:space="preserve">when a student’s score on a level falls into the </w:t>
      </w:r>
      <w:r w:rsidRPr="00410F33">
        <w:rPr>
          <w:rFonts w:ascii="Calibri" w:hAnsi="Calibri" w:cs="Calibri"/>
          <w:i/>
          <w:iCs/>
          <w:color w:val="000000"/>
          <w:sz w:val="22"/>
          <w:szCs w:val="22"/>
        </w:rPr>
        <w:t xml:space="preserve">instructional </w:t>
      </w:r>
      <w:r w:rsidRPr="00410F33">
        <w:rPr>
          <w:rFonts w:ascii="Calibri" w:hAnsi="Calibri" w:cs="Calibri"/>
          <w:color w:val="000000"/>
          <w:sz w:val="22"/>
          <w:szCs w:val="22"/>
        </w:rPr>
        <w:t>ra</w:t>
      </w:r>
      <w:r w:rsidR="00EC5E93">
        <w:rPr>
          <w:rFonts w:ascii="Calibri" w:hAnsi="Calibri" w:cs="Calibri"/>
          <w:color w:val="000000"/>
          <w:sz w:val="22"/>
          <w:szCs w:val="22"/>
        </w:rPr>
        <w:t xml:space="preserve">nge, or lower, on the continuum. </w:t>
      </w:r>
      <w:r w:rsidRPr="00410F33">
        <w:rPr>
          <w:rFonts w:ascii="Calibri" w:hAnsi="Calibri" w:cs="Calibri"/>
          <w:color w:val="000000"/>
          <w:sz w:val="22"/>
          <w:szCs w:val="22"/>
        </w:rPr>
        <w:t xml:space="preserve">The level below this is the </w:t>
      </w:r>
      <w:r w:rsidRPr="00EC5E93">
        <w:rPr>
          <w:rFonts w:ascii="Calibri" w:hAnsi="Calibri" w:cs="Calibri"/>
          <w:b/>
          <w:color w:val="000000"/>
          <w:sz w:val="22"/>
          <w:szCs w:val="22"/>
        </w:rPr>
        <w:t>highest independent level</w:t>
      </w:r>
      <w:r w:rsidRPr="00410F33">
        <w:rPr>
          <w:rFonts w:ascii="Calibri" w:hAnsi="Calibri" w:cs="Calibri"/>
          <w:color w:val="000000"/>
          <w:sz w:val="22"/>
          <w:szCs w:val="22"/>
        </w:rPr>
        <w:t>. The independent level assessment and instructional level assessment,</w:t>
      </w:r>
      <w:r w:rsidR="00EC5E93">
        <w:rPr>
          <w:rFonts w:ascii="Calibri" w:hAnsi="Calibri" w:cs="Calibri"/>
          <w:color w:val="000000"/>
          <w:sz w:val="22"/>
          <w:szCs w:val="22"/>
        </w:rPr>
        <w:t xml:space="preserve"> or lower, must be kept in the Literacy F</w:t>
      </w:r>
      <w:r w:rsidRPr="00410F33">
        <w:rPr>
          <w:rFonts w:ascii="Calibri" w:hAnsi="Calibri" w:cs="Calibri"/>
          <w:color w:val="000000"/>
          <w:sz w:val="22"/>
          <w:szCs w:val="22"/>
        </w:rPr>
        <w:t xml:space="preserve">older. </w:t>
      </w:r>
    </w:p>
    <w:p w14:paraId="1987E96C" w14:textId="77777777" w:rsidR="007E7074" w:rsidRPr="00410F33" w:rsidRDefault="007E7074" w:rsidP="007E7074">
      <w:pPr>
        <w:widowControl w:val="0"/>
        <w:autoSpaceDE w:val="0"/>
        <w:autoSpaceDN w:val="0"/>
        <w:adjustRightInd w:val="0"/>
        <w:rPr>
          <w:rFonts w:ascii="Calibri" w:hAnsi="Calibri" w:cs="Calibri"/>
          <w:b/>
          <w:bCs/>
          <w:color w:val="000000"/>
          <w:sz w:val="22"/>
          <w:szCs w:val="22"/>
        </w:rPr>
      </w:pPr>
    </w:p>
    <w:p w14:paraId="4AACE1C1" w14:textId="77777777"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Where to begin if there is no previous data </w:t>
      </w:r>
    </w:p>
    <w:p w14:paraId="655D8606" w14:textId="7EB31614" w:rsidR="007E7074" w:rsidRPr="00410F33" w:rsidRDefault="00677AE4" w:rsidP="007E7074">
      <w:pPr>
        <w:widowControl w:val="0"/>
        <w:autoSpaceDE w:val="0"/>
        <w:autoSpaceDN w:val="0"/>
        <w:adjustRightInd w:val="0"/>
        <w:rPr>
          <w:rFonts w:ascii="Calibri" w:hAnsi="Calibri" w:cs="Calibri"/>
          <w:color w:val="000000"/>
          <w:sz w:val="22"/>
          <w:szCs w:val="22"/>
        </w:rPr>
      </w:pPr>
      <w:r w:rsidRPr="00677AE4">
        <w:rPr>
          <w:rFonts w:ascii="Calibri" w:hAnsi="Calibri" w:cs="Calibri"/>
          <w:color w:val="000000"/>
          <w:sz w:val="22"/>
          <w:szCs w:val="22"/>
        </w:rPr>
        <w:t>Thompson School District</w:t>
      </w:r>
      <w:r>
        <w:rPr>
          <w:rFonts w:ascii="Calibri" w:hAnsi="Calibri" w:cs="Calibri"/>
          <w:color w:val="000000"/>
          <w:sz w:val="22"/>
          <w:szCs w:val="22"/>
        </w:rPr>
        <w:t xml:space="preserve"> has</w:t>
      </w:r>
      <w:r w:rsidR="007E7074" w:rsidRPr="00410F33">
        <w:rPr>
          <w:rFonts w:ascii="Calibri" w:hAnsi="Calibri" w:cs="Calibri"/>
          <w:color w:val="000000"/>
          <w:sz w:val="22"/>
          <w:szCs w:val="22"/>
        </w:rPr>
        <w:t xml:space="preserve"> a “Quick Check” to aid text selection for new students. Running records and the DRA2 comparable text list will offer some guidance about an appropriate starting level. This is a recommended starting point, but you may want to start at a lower level than the quick check suggests. </w:t>
      </w:r>
    </w:p>
    <w:p w14:paraId="0E128D55" w14:textId="77777777" w:rsidR="007E7074" w:rsidRPr="00410F33" w:rsidRDefault="007E7074" w:rsidP="007E7074">
      <w:pPr>
        <w:widowControl w:val="0"/>
        <w:autoSpaceDE w:val="0"/>
        <w:autoSpaceDN w:val="0"/>
        <w:adjustRightInd w:val="0"/>
        <w:rPr>
          <w:rFonts w:ascii="Calibri" w:hAnsi="Calibri" w:cs="Calibri"/>
          <w:b/>
          <w:bCs/>
          <w:color w:val="000000"/>
          <w:sz w:val="22"/>
          <w:szCs w:val="22"/>
        </w:rPr>
      </w:pPr>
    </w:p>
    <w:p w14:paraId="4FEB7702" w14:textId="5323576A"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Text selection </w:t>
      </w:r>
      <w:r w:rsidR="00677AE4">
        <w:rPr>
          <w:rFonts w:ascii="Calibri" w:hAnsi="Calibri" w:cs="Calibri"/>
          <w:b/>
          <w:bCs/>
          <w:color w:val="000000"/>
          <w:sz w:val="22"/>
          <w:szCs w:val="22"/>
        </w:rPr>
        <w:t>at levels 28 and higher</w:t>
      </w:r>
    </w:p>
    <w:p w14:paraId="174177F9" w14:textId="57FB2566" w:rsidR="007E7074" w:rsidRPr="00410F33" w:rsidRDefault="007E7074" w:rsidP="007E7074">
      <w:pPr>
        <w:widowControl w:val="0"/>
        <w:autoSpaceDE w:val="0"/>
        <w:autoSpaceDN w:val="0"/>
        <w:adjustRightInd w:val="0"/>
        <w:rPr>
          <w:rFonts w:ascii="Calibri" w:hAnsi="Calibri" w:cs="Calibri"/>
          <w:color w:val="000000"/>
          <w:sz w:val="22"/>
          <w:szCs w:val="22"/>
        </w:rPr>
      </w:pPr>
      <w:r w:rsidRPr="00410F33">
        <w:rPr>
          <w:rFonts w:ascii="Calibri" w:hAnsi="Calibri" w:cs="Calibri"/>
          <w:color w:val="000000"/>
          <w:sz w:val="22"/>
          <w:szCs w:val="22"/>
        </w:rPr>
        <w:t xml:space="preserve">It is recommended that students select the DRA2 text from the titles at the level to be tested. Students will comprehend better if they have some background knowledge and/or interest in the text. To expedite the assessment process, pre-select the text </w:t>
      </w:r>
      <w:r w:rsidR="00C67B60" w:rsidRPr="00410F33">
        <w:rPr>
          <w:rFonts w:ascii="Calibri" w:hAnsi="Calibri" w:cs="Calibri"/>
          <w:color w:val="000000"/>
          <w:sz w:val="22"/>
          <w:szCs w:val="22"/>
        </w:rPr>
        <w:t xml:space="preserve">level based on prior data (running records, previous DRA2 reading level, </w:t>
      </w:r>
      <w:r w:rsidR="00C67B60">
        <w:rPr>
          <w:rFonts w:ascii="Calibri" w:hAnsi="Calibri" w:cs="Calibri"/>
          <w:color w:val="000000"/>
          <w:sz w:val="22"/>
          <w:szCs w:val="22"/>
        </w:rPr>
        <w:t>reading observations) and offer</w:t>
      </w:r>
      <w:r w:rsidRPr="00410F33">
        <w:rPr>
          <w:rFonts w:ascii="Calibri" w:hAnsi="Calibri" w:cs="Calibri"/>
          <w:color w:val="000000"/>
          <w:sz w:val="22"/>
          <w:szCs w:val="22"/>
        </w:rPr>
        <w:t xml:space="preserve"> the student texts at that level. </w:t>
      </w:r>
    </w:p>
    <w:p w14:paraId="78C4B916" w14:textId="77777777" w:rsidR="007E7074" w:rsidRPr="00410F33" w:rsidRDefault="007E7074" w:rsidP="007E7074">
      <w:pPr>
        <w:rPr>
          <w:rFonts w:ascii="Calibri" w:hAnsi="Calibri" w:cs="Calibri"/>
          <w:color w:val="000000"/>
          <w:sz w:val="22"/>
          <w:szCs w:val="22"/>
        </w:rPr>
      </w:pPr>
    </w:p>
    <w:p w14:paraId="4F53E3FB" w14:textId="77777777" w:rsidR="00B938CA" w:rsidRDefault="00B938CA" w:rsidP="007E7074">
      <w:pPr>
        <w:rPr>
          <w:rFonts w:ascii="Calibri" w:hAnsi="Calibri" w:cs="Calibri"/>
          <w:color w:val="000000"/>
          <w:sz w:val="22"/>
          <w:szCs w:val="22"/>
        </w:rPr>
      </w:pPr>
    </w:p>
    <w:p w14:paraId="605DFE48" w14:textId="77777777" w:rsidR="00B938CA" w:rsidRDefault="00B938CA" w:rsidP="007E7074">
      <w:pPr>
        <w:rPr>
          <w:rFonts w:ascii="Calibri" w:hAnsi="Calibri" w:cs="Calibri"/>
          <w:color w:val="000000"/>
          <w:sz w:val="22"/>
          <w:szCs w:val="22"/>
        </w:rPr>
      </w:pPr>
    </w:p>
    <w:p w14:paraId="2F26C92F" w14:textId="45A442AE" w:rsidR="007E7074" w:rsidRPr="00410F33" w:rsidRDefault="007E7074" w:rsidP="007E7074">
      <w:pPr>
        <w:rPr>
          <w:rFonts w:ascii="Calibri" w:hAnsi="Calibri" w:cs="Calibri"/>
          <w:color w:val="000000"/>
          <w:sz w:val="22"/>
          <w:szCs w:val="22"/>
        </w:rPr>
      </w:pPr>
      <w:r w:rsidRPr="00410F33">
        <w:rPr>
          <w:rFonts w:ascii="Calibri" w:hAnsi="Calibri" w:cs="Calibri"/>
          <w:color w:val="000000"/>
          <w:sz w:val="22"/>
          <w:szCs w:val="22"/>
        </w:rPr>
        <w:t>It is always recommended to use an “unseen” text in an assessment environment. However, if a text proved too difficult for a student previously, the text may be used if six or more weeks have passed between testing sessions. The only portion of the assessment that a student will score higher on with a seen text is the prediction portion.</w:t>
      </w:r>
    </w:p>
    <w:p w14:paraId="36BB2EC6" w14:textId="77777777" w:rsidR="006B1993" w:rsidRPr="00410F33" w:rsidRDefault="006B1993" w:rsidP="007E7074">
      <w:pPr>
        <w:rPr>
          <w:rFonts w:ascii="Calibri" w:hAnsi="Calibri" w:cs="Calibri"/>
          <w:color w:val="000000"/>
          <w:sz w:val="22"/>
          <w:szCs w:val="22"/>
        </w:rPr>
      </w:pPr>
    </w:p>
    <w:p w14:paraId="71F64536" w14:textId="77777777" w:rsidR="006B1993" w:rsidRPr="00410F33" w:rsidRDefault="006B1993" w:rsidP="006B1993">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Oral Reading Fluency </w:t>
      </w:r>
    </w:p>
    <w:p w14:paraId="45FE28D0" w14:textId="283FC3AD" w:rsidR="006B1993" w:rsidRPr="00410F33" w:rsidRDefault="006B1993" w:rsidP="006B1993">
      <w:pPr>
        <w:rPr>
          <w:rFonts w:ascii="Calibri" w:hAnsi="Calibri" w:cs="Calibri"/>
          <w:b/>
          <w:i/>
          <w:color w:val="000000"/>
          <w:sz w:val="22"/>
          <w:szCs w:val="22"/>
        </w:rPr>
      </w:pPr>
      <w:r w:rsidRPr="00410F33">
        <w:rPr>
          <w:rFonts w:ascii="Calibri" w:hAnsi="Calibri" w:cs="Calibri"/>
          <w:color w:val="000000"/>
          <w:sz w:val="22"/>
          <w:szCs w:val="22"/>
        </w:rPr>
        <w:t xml:space="preserve">The Oral Reading Fluency portion of the DRA2 assesses a student’s fluency with that level of text. </w:t>
      </w:r>
      <w:r w:rsidR="00CF17FB" w:rsidRPr="00410F33">
        <w:rPr>
          <w:rFonts w:ascii="Calibri" w:hAnsi="Calibri" w:cs="Calibri"/>
          <w:color w:val="000000"/>
          <w:sz w:val="22"/>
          <w:szCs w:val="22"/>
        </w:rPr>
        <w:t xml:space="preserve">When a student’s fluency continuum score falls below the independent level, </w:t>
      </w:r>
      <w:r w:rsidR="00CF17FB">
        <w:rPr>
          <w:rFonts w:ascii="Calibri" w:hAnsi="Calibri" w:cs="Calibri"/>
          <w:color w:val="000000"/>
          <w:sz w:val="22"/>
          <w:szCs w:val="22"/>
        </w:rPr>
        <w:t>it is</w:t>
      </w:r>
      <w:r w:rsidR="00CF17FB" w:rsidRPr="00410F33">
        <w:rPr>
          <w:rFonts w:ascii="Calibri" w:hAnsi="Calibri" w:cs="Calibri"/>
          <w:color w:val="000000"/>
          <w:sz w:val="22"/>
          <w:szCs w:val="22"/>
        </w:rPr>
        <w:t xml:space="preserve"> not </w:t>
      </w:r>
      <w:r w:rsidR="00CF17FB">
        <w:rPr>
          <w:rFonts w:ascii="Calibri" w:hAnsi="Calibri" w:cs="Calibri"/>
          <w:color w:val="000000"/>
          <w:sz w:val="22"/>
          <w:szCs w:val="22"/>
        </w:rPr>
        <w:t xml:space="preserve">necessary </w:t>
      </w:r>
      <w:r w:rsidR="00CF17FB" w:rsidRPr="00410F33">
        <w:rPr>
          <w:rFonts w:ascii="Calibri" w:hAnsi="Calibri" w:cs="Calibri"/>
          <w:color w:val="000000"/>
          <w:sz w:val="22"/>
          <w:szCs w:val="22"/>
        </w:rPr>
        <w:t>continue to the Comprehe</w:t>
      </w:r>
      <w:r w:rsidR="00CF17FB">
        <w:rPr>
          <w:rFonts w:ascii="Calibri" w:hAnsi="Calibri" w:cs="Calibri"/>
          <w:color w:val="000000"/>
          <w:sz w:val="22"/>
          <w:szCs w:val="22"/>
        </w:rPr>
        <w:t>nsion portion of the assessment, as the student is not at an independent level.</w:t>
      </w:r>
      <w:r w:rsidR="00CF17FB" w:rsidRPr="00410F33">
        <w:rPr>
          <w:rFonts w:ascii="Calibri" w:hAnsi="Calibri" w:cs="Calibri"/>
          <w:color w:val="000000"/>
          <w:sz w:val="22"/>
          <w:szCs w:val="22"/>
        </w:rPr>
        <w:t xml:space="preserve"> Instead, administer the level below. </w:t>
      </w:r>
      <w:r w:rsidR="00CF17FB">
        <w:rPr>
          <w:rFonts w:ascii="Calibri" w:hAnsi="Calibri" w:cs="Calibri"/>
          <w:color w:val="000000"/>
          <w:sz w:val="22"/>
          <w:szCs w:val="22"/>
        </w:rPr>
        <w:t>However,</w:t>
      </w:r>
      <w:r w:rsidRPr="00410F33">
        <w:rPr>
          <w:rFonts w:ascii="Calibri" w:hAnsi="Calibri" w:cs="Calibri"/>
          <w:color w:val="000000"/>
          <w:sz w:val="22"/>
          <w:szCs w:val="22"/>
        </w:rPr>
        <w:t xml:space="preserve"> </w:t>
      </w:r>
      <w:r w:rsidR="00CF17FB">
        <w:rPr>
          <w:rFonts w:ascii="Calibri" w:hAnsi="Calibri" w:cs="Calibri"/>
          <w:color w:val="000000"/>
          <w:sz w:val="22"/>
          <w:szCs w:val="22"/>
        </w:rPr>
        <w:t>with specific children,</w:t>
      </w:r>
      <w:r w:rsidRPr="00410F33">
        <w:rPr>
          <w:rFonts w:ascii="Calibri" w:hAnsi="Calibri" w:cs="Calibri"/>
          <w:color w:val="000000"/>
          <w:sz w:val="22"/>
          <w:szCs w:val="22"/>
        </w:rPr>
        <w:t xml:space="preserve"> the entire ORF continuum (4 indicators, not just reading rate and accuracy) </w:t>
      </w:r>
      <w:r w:rsidR="00CF17FB">
        <w:rPr>
          <w:rFonts w:ascii="Calibri" w:hAnsi="Calibri" w:cs="Calibri"/>
          <w:color w:val="000000"/>
          <w:sz w:val="22"/>
          <w:szCs w:val="22"/>
        </w:rPr>
        <w:t>may be</w:t>
      </w:r>
      <w:r w:rsidRPr="00410F33">
        <w:rPr>
          <w:rFonts w:ascii="Calibri" w:hAnsi="Calibri" w:cs="Calibri"/>
          <w:color w:val="000000"/>
          <w:sz w:val="22"/>
          <w:szCs w:val="22"/>
        </w:rPr>
        <w:t xml:space="preserve"> scored before determining whether to move onto the comprehension section. </w:t>
      </w:r>
    </w:p>
    <w:p w14:paraId="2F9EACD9" w14:textId="77777777" w:rsidR="008A0AAE" w:rsidRPr="00410F33" w:rsidRDefault="008A0AAE" w:rsidP="006B1993">
      <w:pPr>
        <w:rPr>
          <w:rFonts w:ascii="Calibri" w:hAnsi="Calibri" w:cs="Calibri"/>
          <w:b/>
          <w:i/>
          <w:color w:val="000000"/>
          <w:sz w:val="22"/>
          <w:szCs w:val="22"/>
        </w:rPr>
      </w:pPr>
    </w:p>
    <w:p w14:paraId="6DFDD5E2" w14:textId="77777777" w:rsidR="008A0AAE" w:rsidRPr="00410F33" w:rsidRDefault="008A0AAE" w:rsidP="008A0AAE">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Reading Questions Aloud to Students </w:t>
      </w:r>
    </w:p>
    <w:p w14:paraId="7559CFBB" w14:textId="3E03235B" w:rsidR="008A0AAE" w:rsidRPr="00410F33" w:rsidRDefault="008A0AAE" w:rsidP="008A0AAE">
      <w:pPr>
        <w:rPr>
          <w:rFonts w:ascii="Calibri" w:hAnsi="Calibri" w:cs="Calibri"/>
          <w:color w:val="000000"/>
          <w:sz w:val="22"/>
          <w:szCs w:val="22"/>
        </w:rPr>
      </w:pPr>
      <w:r w:rsidRPr="00410F33">
        <w:rPr>
          <w:rFonts w:ascii="Calibri" w:hAnsi="Calibri" w:cs="Calibri"/>
          <w:color w:val="000000"/>
          <w:sz w:val="22"/>
          <w:szCs w:val="22"/>
        </w:rPr>
        <w:t>The DRA2 states that you may read the Written Prediction questions and/or the Written Summary and Response questions aloud to students.</w:t>
      </w:r>
    </w:p>
    <w:p w14:paraId="00BD4DA5" w14:textId="77777777" w:rsidR="008A0AAE" w:rsidRPr="00410F33" w:rsidRDefault="008A0AAE" w:rsidP="008A0AAE">
      <w:pPr>
        <w:rPr>
          <w:rFonts w:ascii="Calibri" w:hAnsi="Calibri" w:cs="Calibri"/>
          <w:color w:val="000000"/>
          <w:sz w:val="22"/>
          <w:szCs w:val="22"/>
        </w:rPr>
      </w:pPr>
    </w:p>
    <w:p w14:paraId="0E211665" w14:textId="77777777" w:rsidR="008A0AAE" w:rsidRPr="00410F33" w:rsidRDefault="008A0AAE" w:rsidP="008A0AAE">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Written Retell </w:t>
      </w:r>
    </w:p>
    <w:p w14:paraId="79586045" w14:textId="1FC461CF" w:rsidR="008A0AAE" w:rsidRDefault="008A0AAE" w:rsidP="008A0AAE">
      <w:pPr>
        <w:rPr>
          <w:rFonts w:ascii="Calibri" w:hAnsi="Calibri" w:cs="Calibri"/>
          <w:color w:val="000000"/>
          <w:sz w:val="22"/>
          <w:szCs w:val="22"/>
        </w:rPr>
      </w:pPr>
      <w:r w:rsidRPr="00410F33">
        <w:rPr>
          <w:rFonts w:ascii="Calibri" w:hAnsi="Calibri" w:cs="Calibri"/>
          <w:color w:val="000000"/>
          <w:sz w:val="22"/>
          <w:szCs w:val="22"/>
        </w:rPr>
        <w:t>DRA2 requires a written retell for levels 28 and above for all students no matter the grade level of the student. If an IEP is in place that names a modification, follow the IEP. If the student can have a scribe or other assistive device for recording written responses based on the IEP, then these accommodations should be provided for the DRA2. These would be the same accommodations routinely implemented and documented to support the st</w:t>
      </w:r>
      <w:r w:rsidR="00426118">
        <w:rPr>
          <w:rFonts w:ascii="Calibri" w:hAnsi="Calibri" w:cs="Calibri"/>
          <w:color w:val="000000"/>
          <w:sz w:val="22"/>
          <w:szCs w:val="22"/>
        </w:rPr>
        <w:t>udent during routine situations and documented on Infinite Campus.</w:t>
      </w:r>
    </w:p>
    <w:p w14:paraId="52ED4C83" w14:textId="77777777" w:rsidR="00AB1F63" w:rsidRPr="00410F33" w:rsidRDefault="00AB1F63" w:rsidP="008A0AAE">
      <w:pPr>
        <w:rPr>
          <w:rFonts w:ascii="Calibri" w:hAnsi="Calibri" w:cs="Calibri"/>
          <w:color w:val="000000"/>
          <w:sz w:val="22"/>
          <w:szCs w:val="22"/>
        </w:rPr>
      </w:pPr>
    </w:p>
    <w:p w14:paraId="5C61D444" w14:textId="77777777" w:rsidR="008A0AAE" w:rsidRPr="00410F33" w:rsidRDefault="008A0AAE" w:rsidP="008A0AAE">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DRA2 Word Analysis </w:t>
      </w:r>
    </w:p>
    <w:p w14:paraId="5C01AF81" w14:textId="4F694202" w:rsidR="008A0AAE" w:rsidRPr="00410F33" w:rsidRDefault="008A0AAE" w:rsidP="008A0AAE">
      <w:pPr>
        <w:rPr>
          <w:rFonts w:ascii="Calibri" w:hAnsi="Calibri" w:cs="Calibri"/>
          <w:color w:val="000000"/>
          <w:sz w:val="22"/>
          <w:szCs w:val="22"/>
        </w:rPr>
      </w:pPr>
      <w:r w:rsidRPr="00410F33">
        <w:rPr>
          <w:rFonts w:ascii="Calibri" w:hAnsi="Calibri" w:cs="Calibri"/>
          <w:color w:val="000000"/>
          <w:sz w:val="22"/>
          <w:szCs w:val="22"/>
        </w:rPr>
        <w:t xml:space="preserve">The DRA2 Word Analysis </w:t>
      </w:r>
      <w:r w:rsidR="00426118">
        <w:rPr>
          <w:rFonts w:ascii="Calibri" w:hAnsi="Calibri" w:cs="Calibri"/>
          <w:color w:val="000000"/>
          <w:sz w:val="22"/>
          <w:szCs w:val="22"/>
        </w:rPr>
        <w:t>Tasks 1, 3, 4, 5, 6, 9, 11, and 12</w:t>
      </w:r>
      <w:r w:rsidR="00426118" w:rsidRPr="00410F33">
        <w:rPr>
          <w:rFonts w:ascii="Calibri" w:hAnsi="Calibri" w:cs="Calibri"/>
          <w:color w:val="000000"/>
          <w:sz w:val="22"/>
          <w:szCs w:val="22"/>
        </w:rPr>
        <w:t xml:space="preserve"> </w:t>
      </w:r>
      <w:r w:rsidRPr="00410F33">
        <w:rPr>
          <w:rFonts w:ascii="Calibri" w:hAnsi="Calibri" w:cs="Calibri"/>
          <w:color w:val="000000"/>
          <w:sz w:val="22"/>
          <w:szCs w:val="22"/>
        </w:rPr>
        <w:t xml:space="preserve">should be given to all </w:t>
      </w:r>
      <w:r w:rsidR="004736D9" w:rsidRPr="00410F33">
        <w:rPr>
          <w:rFonts w:ascii="Calibri" w:hAnsi="Calibri" w:cs="Calibri"/>
          <w:color w:val="000000"/>
          <w:sz w:val="22"/>
          <w:szCs w:val="22"/>
        </w:rPr>
        <w:t>Kindergarteners</w:t>
      </w:r>
      <w:r w:rsidR="00426118">
        <w:rPr>
          <w:rFonts w:ascii="Calibri" w:hAnsi="Calibri" w:cs="Calibri"/>
          <w:color w:val="000000"/>
          <w:sz w:val="22"/>
          <w:szCs w:val="22"/>
        </w:rPr>
        <w:t xml:space="preserve"> in the FALL</w:t>
      </w:r>
      <w:r w:rsidR="004736D9" w:rsidRPr="00410F33">
        <w:rPr>
          <w:rFonts w:ascii="Calibri" w:hAnsi="Calibri" w:cs="Calibri"/>
          <w:color w:val="000000"/>
          <w:sz w:val="22"/>
          <w:szCs w:val="22"/>
        </w:rPr>
        <w:t>.</w:t>
      </w:r>
      <w:r w:rsidRPr="00410F33">
        <w:rPr>
          <w:rFonts w:ascii="Calibri" w:hAnsi="Calibri" w:cs="Calibri"/>
          <w:color w:val="000000"/>
          <w:sz w:val="22"/>
          <w:szCs w:val="22"/>
        </w:rPr>
        <w:t xml:space="preserve"> </w:t>
      </w:r>
      <w:r w:rsidR="00426118">
        <w:rPr>
          <w:rFonts w:ascii="Calibri" w:hAnsi="Calibri" w:cs="Calibri"/>
          <w:color w:val="000000"/>
          <w:sz w:val="22"/>
          <w:szCs w:val="22"/>
        </w:rPr>
        <w:t>Word Analysis Tasks are optional in other grades.</w:t>
      </w:r>
    </w:p>
    <w:p w14:paraId="19C6A52F" w14:textId="77777777" w:rsidR="004736D9" w:rsidRPr="00410F33" w:rsidRDefault="004736D9" w:rsidP="008A0AAE">
      <w:pPr>
        <w:rPr>
          <w:rFonts w:ascii="Calibri" w:hAnsi="Calibri" w:cs="Calibri"/>
          <w:color w:val="000000"/>
          <w:sz w:val="22"/>
          <w:szCs w:val="22"/>
        </w:rPr>
      </w:pPr>
    </w:p>
    <w:p w14:paraId="5329F842"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Students with Speech Impairment </w:t>
      </w:r>
    </w:p>
    <w:p w14:paraId="0C25EC26"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color w:val="000000"/>
          <w:sz w:val="22"/>
          <w:szCs w:val="22"/>
        </w:rPr>
        <w:t xml:space="preserve">The teacher assessing should be familiar with the specific impairments of each student. When reading orally, a student’s miscue or mispronounced word that is a result of the speech impairment should not be counted as a miscue. The score is based on the student’s intended word, excusing speech impairment. </w:t>
      </w:r>
    </w:p>
    <w:p w14:paraId="000E0D1C" w14:textId="77777777" w:rsidR="004736D9" w:rsidRPr="00410F33" w:rsidRDefault="004736D9" w:rsidP="004736D9">
      <w:pPr>
        <w:widowControl w:val="0"/>
        <w:autoSpaceDE w:val="0"/>
        <w:autoSpaceDN w:val="0"/>
        <w:adjustRightInd w:val="0"/>
        <w:rPr>
          <w:rFonts w:ascii="Calibri" w:hAnsi="Calibri" w:cs="Calibri"/>
          <w:color w:val="000000"/>
          <w:sz w:val="22"/>
          <w:szCs w:val="22"/>
        </w:rPr>
      </w:pPr>
    </w:p>
    <w:p w14:paraId="25E11E0F"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Mispronunciations for English Language Learners and Dialect </w:t>
      </w:r>
    </w:p>
    <w:p w14:paraId="74BBBC6F" w14:textId="185B217D" w:rsidR="004736D9" w:rsidRPr="00410F33" w:rsidRDefault="004736D9" w:rsidP="004736D9">
      <w:pPr>
        <w:rPr>
          <w:rFonts w:ascii="Calibri" w:hAnsi="Calibri" w:cs="Calibri"/>
          <w:color w:val="000000"/>
          <w:sz w:val="22"/>
          <w:szCs w:val="22"/>
        </w:rPr>
      </w:pPr>
      <w:r w:rsidRPr="00410F33">
        <w:rPr>
          <w:rFonts w:ascii="Calibri" w:hAnsi="Calibri" w:cs="Calibri"/>
          <w:color w:val="000000"/>
          <w:sz w:val="22"/>
          <w:szCs w:val="22"/>
        </w:rPr>
        <w:t>Because the DRA2 is a reading assessment, all students should be expected to read the words as they are written. Misread words are always counted as errors (e.g., “like-ed” for “liked”). However, if a student consistently mispronounces words due to regional language dialect or native language speech patterns (e.g., “ax” for “ask”, or “set” for “sit”), then the mispronounced word is coded but is not counted as an error. The teacher assessing should be familiar with the specific speech patterns of the student to assure the scoring adequately distinguishes misread words from words read correctly but mispronounced due to regional dialect, native language speech patterns or language development.</w:t>
      </w:r>
    </w:p>
    <w:p w14:paraId="1180459E" w14:textId="77777777" w:rsidR="004736D9" w:rsidRPr="00410F33" w:rsidRDefault="004736D9" w:rsidP="004736D9">
      <w:pPr>
        <w:rPr>
          <w:rFonts w:ascii="Calibri" w:hAnsi="Calibri" w:cs="Calibri"/>
          <w:color w:val="000000"/>
          <w:sz w:val="22"/>
          <w:szCs w:val="22"/>
        </w:rPr>
      </w:pPr>
    </w:p>
    <w:p w14:paraId="651A5CB8"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English Language Learners </w:t>
      </w:r>
    </w:p>
    <w:p w14:paraId="00FB7553" w14:textId="1E7A305A" w:rsidR="004736D9" w:rsidRPr="00410F33" w:rsidRDefault="004736D9" w:rsidP="004736D9">
      <w:pPr>
        <w:rPr>
          <w:rFonts w:ascii="Calibri" w:hAnsi="Calibri" w:cs="Calibri"/>
          <w:color w:val="000000"/>
          <w:sz w:val="22"/>
          <w:szCs w:val="22"/>
        </w:rPr>
      </w:pPr>
      <w:r w:rsidRPr="00410F33">
        <w:rPr>
          <w:rFonts w:ascii="Calibri" w:hAnsi="Calibri" w:cs="Calibri"/>
          <w:color w:val="000000"/>
          <w:sz w:val="22"/>
          <w:szCs w:val="22"/>
        </w:rPr>
        <w:t>TSD expects all students to have a DRA2 administered to gather baseline data and inform instruction.</w:t>
      </w:r>
    </w:p>
    <w:p w14:paraId="49A94E92" w14:textId="77777777" w:rsidR="004736D9" w:rsidRPr="00410F33" w:rsidRDefault="004736D9" w:rsidP="004736D9">
      <w:pPr>
        <w:rPr>
          <w:rFonts w:ascii="Calibri" w:hAnsi="Calibri" w:cs="Calibri"/>
          <w:color w:val="000000"/>
          <w:sz w:val="22"/>
          <w:szCs w:val="22"/>
        </w:rPr>
      </w:pPr>
    </w:p>
    <w:p w14:paraId="10F0F1CA" w14:textId="77777777" w:rsidR="00B938CA" w:rsidRDefault="00B938CA" w:rsidP="004736D9">
      <w:pPr>
        <w:widowControl w:val="0"/>
        <w:autoSpaceDE w:val="0"/>
        <w:autoSpaceDN w:val="0"/>
        <w:adjustRightInd w:val="0"/>
        <w:rPr>
          <w:rFonts w:ascii="Calibri" w:hAnsi="Calibri" w:cs="Calibri"/>
          <w:b/>
          <w:bCs/>
          <w:color w:val="000000"/>
          <w:sz w:val="22"/>
          <w:szCs w:val="22"/>
        </w:rPr>
      </w:pPr>
    </w:p>
    <w:p w14:paraId="1C15CEC0" w14:textId="77777777" w:rsidR="004736D9" w:rsidRPr="00410F33" w:rsidRDefault="004736D9" w:rsidP="004736D9">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Special Education Exemptions </w:t>
      </w:r>
    </w:p>
    <w:p w14:paraId="7F381392" w14:textId="7BAFBA73" w:rsidR="004736D9" w:rsidRPr="00410F33" w:rsidRDefault="004736D9" w:rsidP="004736D9">
      <w:pPr>
        <w:rPr>
          <w:rFonts w:ascii="Calibri" w:hAnsi="Calibri" w:cs="Calibri"/>
          <w:color w:val="000000"/>
          <w:sz w:val="22"/>
          <w:szCs w:val="22"/>
        </w:rPr>
      </w:pPr>
      <w:r w:rsidRPr="00410F33">
        <w:rPr>
          <w:rFonts w:ascii="Calibri" w:hAnsi="Calibri" w:cs="Calibri"/>
          <w:color w:val="000000"/>
          <w:sz w:val="22"/>
          <w:szCs w:val="22"/>
        </w:rPr>
        <w:t>None. All students with an IEP are required to have a DRA2 assessment.</w:t>
      </w:r>
    </w:p>
    <w:p w14:paraId="5F88D58E" w14:textId="77777777" w:rsidR="00B25C8B" w:rsidRDefault="00B25C8B" w:rsidP="00FD32F6">
      <w:pPr>
        <w:widowControl w:val="0"/>
        <w:autoSpaceDE w:val="0"/>
        <w:autoSpaceDN w:val="0"/>
        <w:adjustRightInd w:val="0"/>
        <w:rPr>
          <w:rFonts w:ascii="Calibri" w:hAnsi="Calibri" w:cs="Calibri"/>
          <w:b/>
          <w:bCs/>
          <w:color w:val="000000"/>
          <w:sz w:val="22"/>
          <w:szCs w:val="22"/>
        </w:rPr>
      </w:pPr>
    </w:p>
    <w:p w14:paraId="2B0B33EC" w14:textId="77777777" w:rsidR="00FD32F6" w:rsidRPr="00410F33" w:rsidRDefault="00FD32F6" w:rsidP="00FD32F6">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DRA2 Training </w:t>
      </w:r>
    </w:p>
    <w:p w14:paraId="4419EF3E" w14:textId="32C3CB01" w:rsidR="00FD32F6" w:rsidRPr="00410F33" w:rsidRDefault="00FD32F6" w:rsidP="00FD32F6">
      <w:pPr>
        <w:rPr>
          <w:rFonts w:ascii="Calibri" w:hAnsi="Calibri" w:cs="Calibri"/>
          <w:color w:val="000000"/>
          <w:sz w:val="22"/>
          <w:szCs w:val="22"/>
        </w:rPr>
      </w:pPr>
      <w:r w:rsidRPr="00163239">
        <w:rPr>
          <w:rFonts w:ascii="Calibri" w:hAnsi="Calibri" w:cs="Calibri"/>
          <w:color w:val="000000"/>
          <w:sz w:val="22"/>
          <w:szCs w:val="22"/>
        </w:rPr>
        <w:t>Anyone who administers the DRA2 must attend a TSD training offered by the TSD DRA2 Training Team</w:t>
      </w:r>
      <w:r w:rsidR="00163239" w:rsidRPr="00163239">
        <w:rPr>
          <w:rFonts w:ascii="Calibri" w:hAnsi="Calibri" w:cs="Calibri"/>
          <w:color w:val="000000"/>
          <w:sz w:val="22"/>
          <w:szCs w:val="22"/>
        </w:rPr>
        <w:t xml:space="preserve"> at your school</w:t>
      </w:r>
      <w:r w:rsidRPr="00163239">
        <w:rPr>
          <w:rFonts w:ascii="Calibri" w:hAnsi="Calibri" w:cs="Calibri"/>
          <w:color w:val="000000"/>
          <w:sz w:val="22"/>
          <w:szCs w:val="22"/>
        </w:rPr>
        <w:t xml:space="preserve">. DRA2 trainings conducted by the </w:t>
      </w:r>
      <w:r w:rsidR="006E7E3C" w:rsidRPr="00163239">
        <w:rPr>
          <w:rFonts w:ascii="Calibri" w:hAnsi="Calibri" w:cs="Calibri"/>
          <w:color w:val="000000"/>
          <w:sz w:val="22"/>
          <w:szCs w:val="22"/>
        </w:rPr>
        <w:t>TSD</w:t>
      </w:r>
      <w:r w:rsidRPr="00163239">
        <w:rPr>
          <w:rFonts w:ascii="Calibri" w:hAnsi="Calibri" w:cs="Calibri"/>
          <w:color w:val="000000"/>
          <w:sz w:val="22"/>
          <w:szCs w:val="22"/>
        </w:rPr>
        <w:t xml:space="preserve"> Training Team</w:t>
      </w:r>
      <w:r w:rsidR="00163239">
        <w:rPr>
          <w:rFonts w:ascii="Calibri" w:hAnsi="Calibri" w:cs="Calibri"/>
          <w:color w:val="000000"/>
          <w:sz w:val="22"/>
          <w:szCs w:val="22"/>
        </w:rPr>
        <w:t>, which includes instructional coaches and specified literacy liaisons,</w:t>
      </w:r>
      <w:r w:rsidRPr="00163239">
        <w:rPr>
          <w:rFonts w:ascii="Calibri" w:hAnsi="Calibri" w:cs="Calibri"/>
          <w:color w:val="000000"/>
          <w:sz w:val="22"/>
          <w:szCs w:val="22"/>
        </w:rPr>
        <w:t xml:space="preserve"> help ensure alignment of assessment practices across the district, increasing the reliability of district DRA2 data. Trainings include </w:t>
      </w:r>
      <w:r w:rsidR="006E7E3C" w:rsidRPr="00163239">
        <w:rPr>
          <w:rFonts w:ascii="Calibri" w:hAnsi="Calibri" w:cs="Calibri"/>
          <w:color w:val="000000"/>
          <w:sz w:val="22"/>
          <w:szCs w:val="22"/>
        </w:rPr>
        <w:t>TSD</w:t>
      </w:r>
      <w:r w:rsidRPr="00163239">
        <w:rPr>
          <w:rFonts w:ascii="Calibri" w:hAnsi="Calibri" w:cs="Calibri"/>
          <w:color w:val="000000"/>
          <w:sz w:val="22"/>
          <w:szCs w:val="22"/>
        </w:rPr>
        <w:t xml:space="preserve"> assessment protocols, administration requirements, assessment evaluation, </w:t>
      </w:r>
      <w:r w:rsidR="006E7E3C" w:rsidRPr="00163239">
        <w:rPr>
          <w:rFonts w:ascii="Calibri" w:hAnsi="Calibri" w:cs="Calibri"/>
          <w:color w:val="000000"/>
          <w:sz w:val="22"/>
          <w:szCs w:val="22"/>
        </w:rPr>
        <w:t xml:space="preserve">data analysis </w:t>
      </w:r>
      <w:r w:rsidRPr="00163239">
        <w:rPr>
          <w:rFonts w:ascii="Calibri" w:hAnsi="Calibri" w:cs="Calibri"/>
          <w:color w:val="000000"/>
          <w:sz w:val="22"/>
          <w:szCs w:val="22"/>
        </w:rPr>
        <w:t xml:space="preserve">and management strategies. Please contact </w:t>
      </w:r>
      <w:r w:rsidR="00163239" w:rsidRPr="00163239">
        <w:rPr>
          <w:rFonts w:ascii="Calibri" w:hAnsi="Calibri" w:cs="Calibri"/>
          <w:color w:val="000000"/>
          <w:sz w:val="22"/>
          <w:szCs w:val="22"/>
        </w:rPr>
        <w:t>Kathy Sather</w:t>
      </w:r>
      <w:r w:rsidRPr="00163239">
        <w:rPr>
          <w:rFonts w:ascii="Calibri" w:hAnsi="Calibri" w:cs="Calibri"/>
          <w:color w:val="000000"/>
          <w:sz w:val="22"/>
          <w:szCs w:val="22"/>
        </w:rPr>
        <w:t xml:space="preserve"> for </w:t>
      </w:r>
      <w:r w:rsidR="006E7E3C" w:rsidRPr="00163239">
        <w:rPr>
          <w:rFonts w:ascii="Calibri" w:hAnsi="Calibri" w:cs="Calibri"/>
          <w:color w:val="000000"/>
          <w:sz w:val="22"/>
          <w:szCs w:val="22"/>
        </w:rPr>
        <w:t>TSD</w:t>
      </w:r>
      <w:r w:rsidRPr="00163239">
        <w:rPr>
          <w:rFonts w:ascii="Calibri" w:hAnsi="Calibri" w:cs="Calibri"/>
          <w:color w:val="000000"/>
          <w:sz w:val="22"/>
          <w:szCs w:val="22"/>
        </w:rPr>
        <w:t xml:space="preserve"> DRA2 training opportunities.</w:t>
      </w:r>
    </w:p>
    <w:p w14:paraId="333BF28D" w14:textId="77777777" w:rsidR="00221AF3" w:rsidRPr="00410F33" w:rsidRDefault="00221AF3" w:rsidP="00FD32F6">
      <w:pPr>
        <w:rPr>
          <w:rFonts w:ascii="Calibri" w:hAnsi="Calibri" w:cs="Calibri"/>
          <w:color w:val="000000"/>
          <w:sz w:val="22"/>
          <w:szCs w:val="22"/>
        </w:rPr>
      </w:pPr>
    </w:p>
    <w:p w14:paraId="3A26250A" w14:textId="77777777" w:rsidR="00221AF3" w:rsidRPr="00410F33" w:rsidRDefault="00221AF3" w:rsidP="00221AF3">
      <w:pPr>
        <w:widowControl w:val="0"/>
        <w:autoSpaceDE w:val="0"/>
        <w:autoSpaceDN w:val="0"/>
        <w:adjustRightInd w:val="0"/>
        <w:rPr>
          <w:rFonts w:ascii="Calibri" w:hAnsi="Calibri" w:cs="Calibri"/>
          <w:color w:val="000000"/>
          <w:sz w:val="22"/>
          <w:szCs w:val="22"/>
        </w:rPr>
      </w:pPr>
      <w:r w:rsidRPr="00410F33">
        <w:rPr>
          <w:rFonts w:ascii="Calibri" w:hAnsi="Calibri" w:cs="Calibri"/>
          <w:b/>
          <w:bCs/>
          <w:color w:val="000000"/>
          <w:sz w:val="22"/>
          <w:szCs w:val="22"/>
        </w:rPr>
        <w:t xml:space="preserve">Calibration </w:t>
      </w:r>
    </w:p>
    <w:p w14:paraId="1DD4D435" w14:textId="4A9AE158" w:rsidR="00221AF3" w:rsidRPr="00410F33" w:rsidRDefault="00221AF3" w:rsidP="00221AF3">
      <w:pPr>
        <w:rPr>
          <w:sz w:val="22"/>
          <w:szCs w:val="22"/>
        </w:rPr>
      </w:pPr>
      <w:r w:rsidRPr="00410F33">
        <w:rPr>
          <w:rFonts w:ascii="Calibri" w:hAnsi="Calibri" w:cs="Calibri"/>
          <w:color w:val="000000"/>
          <w:sz w:val="22"/>
          <w:szCs w:val="22"/>
        </w:rPr>
        <w:t>CDE requires annua</w:t>
      </w:r>
      <w:r w:rsidRPr="00410F33">
        <w:rPr>
          <w:rFonts w:ascii="Calibri" w:hAnsi="Calibri" w:cs="Calibri"/>
          <w:b/>
          <w:bCs/>
          <w:color w:val="000000"/>
          <w:sz w:val="22"/>
          <w:szCs w:val="22"/>
        </w:rPr>
        <w:t xml:space="preserve">l </w:t>
      </w:r>
      <w:r w:rsidRPr="00410F33">
        <w:rPr>
          <w:rFonts w:ascii="Calibri" w:hAnsi="Calibri" w:cs="Calibri"/>
          <w:color w:val="000000"/>
          <w:sz w:val="22"/>
          <w:szCs w:val="22"/>
        </w:rPr>
        <w:t xml:space="preserve">DRA2 calibration. Calibration includes teachers jointly assessing a student, comparing Observation Guides, and jointly scoring continuums. We suggest grade level teams meet to compare a sampling of DRA2 assessments to support scoring validity during the administration as well as after the assessments have been completed. </w:t>
      </w:r>
      <w:r w:rsidRPr="00163239">
        <w:rPr>
          <w:rFonts w:ascii="Calibri" w:hAnsi="Calibri" w:cs="Calibri"/>
          <w:color w:val="000000"/>
          <w:sz w:val="22"/>
          <w:szCs w:val="22"/>
        </w:rPr>
        <w:t xml:space="preserve">DRA2 Training Team Members are available to support calibration work at the building site. Contact </w:t>
      </w:r>
      <w:r w:rsidR="00163239" w:rsidRPr="00163239">
        <w:rPr>
          <w:rFonts w:ascii="Calibri" w:hAnsi="Calibri" w:cs="Calibri"/>
          <w:color w:val="000000"/>
          <w:sz w:val="22"/>
          <w:szCs w:val="22"/>
        </w:rPr>
        <w:t>Kathy Sather, Early Literacy TOSA,</w:t>
      </w:r>
      <w:r w:rsidRPr="00163239">
        <w:rPr>
          <w:rFonts w:ascii="Calibri" w:hAnsi="Calibri" w:cs="Calibri"/>
          <w:color w:val="000000"/>
          <w:sz w:val="22"/>
          <w:szCs w:val="22"/>
        </w:rPr>
        <w:t xml:space="preserve"> to schedule a Training Team Member to support this process.</w:t>
      </w:r>
    </w:p>
    <w:sectPr w:rsidR="00221AF3" w:rsidRPr="00410F33" w:rsidSect="00F50C69">
      <w:footerReference w:type="even" r:id="rId9"/>
      <w:footerReference w:type="default" r:id="rId10"/>
      <w:pgSz w:w="12240" w:h="15840"/>
      <w:pgMar w:top="810" w:right="1800" w:bottom="117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DFE63" w14:textId="77777777" w:rsidR="00E50D0A" w:rsidRDefault="00E50D0A" w:rsidP="00221AF3">
      <w:r>
        <w:separator/>
      </w:r>
    </w:p>
  </w:endnote>
  <w:endnote w:type="continuationSeparator" w:id="0">
    <w:p w14:paraId="7E7BF942" w14:textId="77777777" w:rsidR="00E50D0A" w:rsidRDefault="00E50D0A" w:rsidP="00221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DF17D" w14:textId="77777777" w:rsidR="00E50D0A" w:rsidRDefault="00E50D0A" w:rsidP="00DD6D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CDBB90" w14:textId="77777777" w:rsidR="00E50D0A" w:rsidRDefault="00E50D0A" w:rsidP="00214B2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6374E" w14:textId="77777777" w:rsidR="00E50D0A" w:rsidRDefault="00E50D0A" w:rsidP="00DD6D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5F90">
      <w:rPr>
        <w:rStyle w:val="PageNumber"/>
        <w:noProof/>
      </w:rPr>
      <w:t>1</w:t>
    </w:r>
    <w:r>
      <w:rPr>
        <w:rStyle w:val="PageNumber"/>
      </w:rPr>
      <w:fldChar w:fldCharType="end"/>
    </w:r>
  </w:p>
  <w:p w14:paraId="2D02FB61" w14:textId="2288F0B3" w:rsidR="00E50D0A" w:rsidRDefault="00E50D0A" w:rsidP="00AF137C">
    <w:pPr>
      <w:pStyle w:val="Footer"/>
      <w:ind w:right="360"/>
    </w:pPr>
    <w:r>
      <w:t>August, 2012</w:t>
    </w:r>
    <w:r>
      <w:tab/>
      <w:t xml:space="preserve"> </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F5B97" w14:textId="77777777" w:rsidR="00E50D0A" w:rsidRDefault="00E50D0A" w:rsidP="00221AF3">
      <w:r>
        <w:separator/>
      </w:r>
    </w:p>
  </w:footnote>
  <w:footnote w:type="continuationSeparator" w:id="0">
    <w:p w14:paraId="3DD7C357" w14:textId="77777777" w:rsidR="00E50D0A" w:rsidRDefault="00E50D0A" w:rsidP="00221A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915"/>
    <w:multiLevelType w:val="hybridMultilevel"/>
    <w:tmpl w:val="3956E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86801"/>
    <w:multiLevelType w:val="hybridMultilevel"/>
    <w:tmpl w:val="932EF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3F0B8C"/>
    <w:multiLevelType w:val="hybridMultilevel"/>
    <w:tmpl w:val="5FA0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76572E"/>
    <w:multiLevelType w:val="hybridMultilevel"/>
    <w:tmpl w:val="D458B5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8BF065A"/>
    <w:multiLevelType w:val="hybridMultilevel"/>
    <w:tmpl w:val="BF222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BB48F4"/>
    <w:multiLevelType w:val="hybridMultilevel"/>
    <w:tmpl w:val="EC5897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6F9"/>
    <w:rsid w:val="00011127"/>
    <w:rsid w:val="0002706F"/>
    <w:rsid w:val="000273C2"/>
    <w:rsid w:val="00030C75"/>
    <w:rsid w:val="000532F5"/>
    <w:rsid w:val="0007164B"/>
    <w:rsid w:val="000927BC"/>
    <w:rsid w:val="000C4D91"/>
    <w:rsid w:val="000E7B6C"/>
    <w:rsid w:val="0010047A"/>
    <w:rsid w:val="00163239"/>
    <w:rsid w:val="001C5D29"/>
    <w:rsid w:val="0021239A"/>
    <w:rsid w:val="002149DA"/>
    <w:rsid w:val="00214B27"/>
    <w:rsid w:val="00221AF3"/>
    <w:rsid w:val="002222CE"/>
    <w:rsid w:val="00253B36"/>
    <w:rsid w:val="002607D7"/>
    <w:rsid w:val="00261377"/>
    <w:rsid w:val="00271E60"/>
    <w:rsid w:val="002A2A02"/>
    <w:rsid w:val="002D7C60"/>
    <w:rsid w:val="002F1837"/>
    <w:rsid w:val="0033717F"/>
    <w:rsid w:val="003638B7"/>
    <w:rsid w:val="003B152D"/>
    <w:rsid w:val="003D35A0"/>
    <w:rsid w:val="003D7E90"/>
    <w:rsid w:val="003E5A3C"/>
    <w:rsid w:val="003F0948"/>
    <w:rsid w:val="00410F33"/>
    <w:rsid w:val="00415223"/>
    <w:rsid w:val="00415516"/>
    <w:rsid w:val="0041770B"/>
    <w:rsid w:val="00426118"/>
    <w:rsid w:val="004411D7"/>
    <w:rsid w:val="0046492E"/>
    <w:rsid w:val="004736D9"/>
    <w:rsid w:val="00484CE5"/>
    <w:rsid w:val="004F53EC"/>
    <w:rsid w:val="0052604D"/>
    <w:rsid w:val="00534C1D"/>
    <w:rsid w:val="0054425E"/>
    <w:rsid w:val="005865DF"/>
    <w:rsid w:val="005A3087"/>
    <w:rsid w:val="005B31AC"/>
    <w:rsid w:val="005D1FB3"/>
    <w:rsid w:val="006109CF"/>
    <w:rsid w:val="00622C10"/>
    <w:rsid w:val="00635FEB"/>
    <w:rsid w:val="00646D15"/>
    <w:rsid w:val="006500D4"/>
    <w:rsid w:val="006601EA"/>
    <w:rsid w:val="00677AE4"/>
    <w:rsid w:val="006920BC"/>
    <w:rsid w:val="00695A59"/>
    <w:rsid w:val="006A0F2B"/>
    <w:rsid w:val="006B1284"/>
    <w:rsid w:val="006B1993"/>
    <w:rsid w:val="006B251C"/>
    <w:rsid w:val="006D17CA"/>
    <w:rsid w:val="006E7E3C"/>
    <w:rsid w:val="006F27DE"/>
    <w:rsid w:val="00714B9D"/>
    <w:rsid w:val="00762EF5"/>
    <w:rsid w:val="00775B19"/>
    <w:rsid w:val="007A7F11"/>
    <w:rsid w:val="007D1650"/>
    <w:rsid w:val="007E7074"/>
    <w:rsid w:val="008A0AAE"/>
    <w:rsid w:val="008F5BDB"/>
    <w:rsid w:val="00900A32"/>
    <w:rsid w:val="009361D3"/>
    <w:rsid w:val="00975A29"/>
    <w:rsid w:val="009D1F3B"/>
    <w:rsid w:val="009F3C25"/>
    <w:rsid w:val="00A0344E"/>
    <w:rsid w:val="00A073B5"/>
    <w:rsid w:val="00A11BA4"/>
    <w:rsid w:val="00A5392C"/>
    <w:rsid w:val="00A60B82"/>
    <w:rsid w:val="00A65DBF"/>
    <w:rsid w:val="00A67367"/>
    <w:rsid w:val="00A77387"/>
    <w:rsid w:val="00AB1F63"/>
    <w:rsid w:val="00AB6D68"/>
    <w:rsid w:val="00AD0698"/>
    <w:rsid w:val="00AF137C"/>
    <w:rsid w:val="00B066A5"/>
    <w:rsid w:val="00B258E4"/>
    <w:rsid w:val="00B25C8B"/>
    <w:rsid w:val="00B70299"/>
    <w:rsid w:val="00B938CA"/>
    <w:rsid w:val="00BA70E5"/>
    <w:rsid w:val="00BB74CB"/>
    <w:rsid w:val="00BF4224"/>
    <w:rsid w:val="00C053C7"/>
    <w:rsid w:val="00C0729E"/>
    <w:rsid w:val="00C35109"/>
    <w:rsid w:val="00C41FED"/>
    <w:rsid w:val="00C67B60"/>
    <w:rsid w:val="00C83B23"/>
    <w:rsid w:val="00CA5F90"/>
    <w:rsid w:val="00CC1509"/>
    <w:rsid w:val="00CF17FB"/>
    <w:rsid w:val="00D10A3D"/>
    <w:rsid w:val="00D42C1A"/>
    <w:rsid w:val="00D51BA2"/>
    <w:rsid w:val="00D87790"/>
    <w:rsid w:val="00DA2A27"/>
    <w:rsid w:val="00DA323F"/>
    <w:rsid w:val="00DA46FE"/>
    <w:rsid w:val="00DC58E8"/>
    <w:rsid w:val="00DD6D68"/>
    <w:rsid w:val="00DE3BDF"/>
    <w:rsid w:val="00E50D0A"/>
    <w:rsid w:val="00E61F90"/>
    <w:rsid w:val="00E97461"/>
    <w:rsid w:val="00EC5E93"/>
    <w:rsid w:val="00EF6A06"/>
    <w:rsid w:val="00F37C1D"/>
    <w:rsid w:val="00F4068C"/>
    <w:rsid w:val="00F50C69"/>
    <w:rsid w:val="00F906F9"/>
    <w:rsid w:val="00FB32ED"/>
    <w:rsid w:val="00FC44E9"/>
    <w:rsid w:val="00FC68B1"/>
    <w:rsid w:val="00FD3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78C8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6F9"/>
    <w:pPr>
      <w:widowControl w:val="0"/>
      <w:autoSpaceDE w:val="0"/>
      <w:autoSpaceDN w:val="0"/>
      <w:adjustRightInd w:val="0"/>
    </w:pPr>
    <w:rPr>
      <w:rFonts w:ascii="Cambria" w:hAnsi="Cambria" w:cs="Cambria"/>
      <w:color w:val="000000"/>
    </w:rPr>
  </w:style>
  <w:style w:type="table" w:styleId="TableGrid">
    <w:name w:val="Table Grid"/>
    <w:basedOn w:val="TableNormal"/>
    <w:uiPriority w:val="59"/>
    <w:rsid w:val="00F37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1AF3"/>
    <w:pPr>
      <w:tabs>
        <w:tab w:val="center" w:pos="4320"/>
        <w:tab w:val="right" w:pos="8640"/>
      </w:tabs>
    </w:pPr>
  </w:style>
  <w:style w:type="character" w:customStyle="1" w:styleId="HeaderChar">
    <w:name w:val="Header Char"/>
    <w:basedOn w:val="DefaultParagraphFont"/>
    <w:link w:val="Header"/>
    <w:uiPriority w:val="99"/>
    <w:rsid w:val="00221AF3"/>
  </w:style>
  <w:style w:type="paragraph" w:styleId="Footer">
    <w:name w:val="footer"/>
    <w:basedOn w:val="Normal"/>
    <w:link w:val="FooterChar"/>
    <w:uiPriority w:val="99"/>
    <w:unhideWhenUsed/>
    <w:rsid w:val="00221AF3"/>
    <w:pPr>
      <w:tabs>
        <w:tab w:val="center" w:pos="4320"/>
        <w:tab w:val="right" w:pos="8640"/>
      </w:tabs>
    </w:pPr>
  </w:style>
  <w:style w:type="character" w:customStyle="1" w:styleId="FooterChar">
    <w:name w:val="Footer Char"/>
    <w:basedOn w:val="DefaultParagraphFont"/>
    <w:link w:val="Footer"/>
    <w:uiPriority w:val="99"/>
    <w:rsid w:val="00221AF3"/>
  </w:style>
  <w:style w:type="character" w:styleId="PageNumber">
    <w:name w:val="page number"/>
    <w:basedOn w:val="DefaultParagraphFont"/>
    <w:uiPriority w:val="99"/>
    <w:semiHidden/>
    <w:unhideWhenUsed/>
    <w:rsid w:val="00214B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6F9"/>
    <w:pPr>
      <w:widowControl w:val="0"/>
      <w:autoSpaceDE w:val="0"/>
      <w:autoSpaceDN w:val="0"/>
      <w:adjustRightInd w:val="0"/>
    </w:pPr>
    <w:rPr>
      <w:rFonts w:ascii="Cambria" w:hAnsi="Cambria" w:cs="Cambria"/>
      <w:color w:val="000000"/>
    </w:rPr>
  </w:style>
  <w:style w:type="table" w:styleId="TableGrid">
    <w:name w:val="Table Grid"/>
    <w:basedOn w:val="TableNormal"/>
    <w:uiPriority w:val="59"/>
    <w:rsid w:val="00F37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21AF3"/>
    <w:pPr>
      <w:tabs>
        <w:tab w:val="center" w:pos="4320"/>
        <w:tab w:val="right" w:pos="8640"/>
      </w:tabs>
    </w:pPr>
  </w:style>
  <w:style w:type="character" w:customStyle="1" w:styleId="HeaderChar">
    <w:name w:val="Header Char"/>
    <w:basedOn w:val="DefaultParagraphFont"/>
    <w:link w:val="Header"/>
    <w:uiPriority w:val="99"/>
    <w:rsid w:val="00221AF3"/>
  </w:style>
  <w:style w:type="paragraph" w:styleId="Footer">
    <w:name w:val="footer"/>
    <w:basedOn w:val="Normal"/>
    <w:link w:val="FooterChar"/>
    <w:uiPriority w:val="99"/>
    <w:unhideWhenUsed/>
    <w:rsid w:val="00221AF3"/>
    <w:pPr>
      <w:tabs>
        <w:tab w:val="center" w:pos="4320"/>
        <w:tab w:val="right" w:pos="8640"/>
      </w:tabs>
    </w:pPr>
  </w:style>
  <w:style w:type="character" w:customStyle="1" w:styleId="FooterChar">
    <w:name w:val="Footer Char"/>
    <w:basedOn w:val="DefaultParagraphFont"/>
    <w:link w:val="Footer"/>
    <w:uiPriority w:val="99"/>
    <w:rsid w:val="00221AF3"/>
  </w:style>
  <w:style w:type="character" w:styleId="PageNumber">
    <w:name w:val="page number"/>
    <w:basedOn w:val="DefaultParagraphFont"/>
    <w:uiPriority w:val="99"/>
    <w:semiHidden/>
    <w:unhideWhenUsed/>
    <w:rsid w:val="00214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TotalTime>
  <Pages>5</Pages>
  <Words>1884</Words>
  <Characters>10739</Characters>
  <Application>Microsoft Macintosh Word</Application>
  <DocSecurity>0</DocSecurity>
  <Lines>89</Lines>
  <Paragraphs>25</Paragraphs>
  <ScaleCrop>false</ScaleCrop>
  <Company>Thompson School District</Company>
  <LinksUpToDate>false</LinksUpToDate>
  <CharactersWithSpaces>12598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Lauer</dc:creator>
  <cp:keywords/>
  <dc:description/>
  <cp:lastModifiedBy>Diane Lauer</cp:lastModifiedBy>
  <cp:revision>95</cp:revision>
  <cp:lastPrinted>2012-08-01T22:25:00Z</cp:lastPrinted>
  <dcterms:created xsi:type="dcterms:W3CDTF">2012-05-16T18:33:00Z</dcterms:created>
  <dcterms:modified xsi:type="dcterms:W3CDTF">2012-08-09T20:40:00Z</dcterms:modified>
</cp:coreProperties>
</file>